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320/2011 vom 29. September 2011</w:t>
      </w:r>
    </w:p>
    <w:p>
      <w:r>
        <w:t>Bundesgericht, 2011-09-29, DE</w:t>
      </w:r>
    </w:p>
    <w:p>
      <w:r>
        <w:rPr>
          <w:b/>
        </w:rPr>
        <w:t xml:space="preserve">Quelle: </w:t>
      </w:r>
      <w:r>
        <w:t>https://mcp.opencaselaw.ch/entscheid/bger_1B_320_2011</w:t>
      </w:r>
    </w:p>
    <w:p>
      <w:r>
        <w:t>FR: TF 1B 320/2011 du 29 septembre 2011</w:t>
      </w:r>
    </w:p>
    <w:p>
      <w:r>
        <w:t>IT: TF 1B 320/2011 del 29 settembre 2011</w:t>
      </w:r>
    </w:p>
    <w:p>
      <w:pPr>
        <w:pStyle w:val="Heading2"/>
      </w:pPr>
      <w:r>
        <w:t>Regeste</w:t>
      </w:r>
    </w:p>
    <w:p>
      <w:r>
        <w:t>Einschränkung des rechtlichen Gehörs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w:t>
      </w:r>
    </w:p>
    <w:p>
      <w:r>
        <w:rPr>
          <w:b/>
        </w:rPr>
        <w:t>E. 1.2</w:t>
      </w:r>
    </w:p>
    <w:p>
      <w:r>
        <w:t>Der angefochtene Entscheid betrifft einen Zwischenentscheid über das Recht des Strafverteidigers, an der Einvernahme eines Mitbeschuldigten teilzunehmen. Mit diesem Entscheid wird das Strafverfahren nicht abgeschlossen. Es liegt somit kein Endentscheid im Sinne von Art. 90 BGG , sondern ein Zwischenentscheid ( Art. 93 BGG ) vor.</w:t>
      </w:r>
    </w:p>
    <w:p>
      <w:r>
        <w:rPr>
          <w:b/>
        </w:rPr>
        <w:t>E. 1.2.1</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BGE 133 IV 288 E. 3.2). Dementsprechend obliegt es dem Beschwerdeführer, detailliert darzutun, dass die Eintretensvoraussetzungen von Art. 93 BGG erfüllt sind, soweit deren Vorliegen nicht offensichtlich ist (vgl. dazu BGE 134 III 426 E. 1.2 in fine; 133 III 629 E. 2.3.1 und 2.4.2).</w:t>
      </w:r>
    </w:p>
    <w:p>
      <w:r>
        <w:rPr>
          <w:b/>
        </w:rPr>
        <w:t>E. 1.2.2</w:t>
      </w:r>
    </w:p>
    <w:p>
      <w:r>
        <w:t>Die Staatsanwaltschaft setzt sich mit den Voraussetzungen von Art. 93 BGG nicht auseinander und zeigt nicht auf, inwiefern die gesetzlichen Voraussetzungen für die Anfechtung des Zwischenentscheids unter den konkreten Umständen gegeben sind. Sie macht lediglich in allgemeiner Form geltend, dass eine frühzeitige Anwesenheit des Rechtsanwalts von Mitangeschuldigten bei Einvernahmen die Wahrheitsfindung erschwere und geeignet sei, der Kollusionsgefahr Vorschub zu leisten. Sie lässt dabei ausser Acht, dass der angefochtene Entscheid sie nicht daran hinderte, die Strafuntersuchung mit dem rechtskräftigen Strafbefehl vom 11. März 2011 ordnungsgemäss abzuschliessen. Es ist somit nicht ersichtlich, inwiefern der angefochtene Entscheid einen nicht wieder gutzumachenden Nachteil im Sinne von Art. 93 Abs. 1 lit. a BGG bewirkt haben könnte. Auf die Beschwerde kann somit nicht eingetreten werden.</w:t>
      </w:r>
    </w:p>
    <w:p>
      <w:r>
        <w:rPr>
          <w:b/>
        </w:rPr>
        <w:t>E. 2</w:t>
      </w:r>
    </w:p>
    <w:p>
      <w:r>
        <w:t>Dem Ausgang des bundesgerichtlichen Verfahrens entsprechend ist auf die Erhebung von Gerichtskosten zu verzichten ( Art. 66 Abs. 4 BGG ). Die unterliegende Beschwerdeführerin hat den privaten Beschwerdegegner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