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31/2015 vom 16. Februar 2015</w:t>
      </w:r>
    </w:p>
    <w:p>
      <w:r>
        <w:t>Bundesgericht, 2015-02-16, DE</w:t>
      </w:r>
    </w:p>
    <w:p>
      <w:r>
        <w:rPr>
          <w:b/>
        </w:rPr>
        <w:t xml:space="preserve">Quelle: </w:t>
      </w:r>
      <w:r>
        <w:t>https://mcp.opencaselaw.ch/entscheid/bger_1B_31_2015</w:t>
      </w:r>
    </w:p>
    <w:p>
      <w:r>
        <w:t>FR: TF 1B 31/2015 du 16 février 2015</w:t>
      </w:r>
    </w:p>
    <w:p>
      <w:r>
        <w:t>IT: TF 1B 31/2015 del 16 febbraio 2015</w:t>
      </w:r>
    </w:p>
    <w:p>
      <w:pPr>
        <w:pStyle w:val="Heading2"/>
      </w:pPr>
      <w:r>
        <w:t>Regeste</w:t>
      </w:r>
    </w:p>
    <w:p>
      <w:r>
        <w:t>Aufhebung von Ersatzmassnahmen | Strafrecht (allgemein)</w:t>
      </w:r>
    </w:p>
    <w:p>
      <w:pPr>
        <w:pStyle w:val="Heading2"/>
      </w:pPr>
      <w:r>
        <w:t>Erwägungen</w:t>
      </w:r>
    </w:p>
    <w:p>
      <w:r>
        <w:rPr>
          <w:b/>
        </w:rPr>
        <w:t>E. 1</w:t>
      </w:r>
    </w:p>
    <w:p>
      <w:r>
        <w:t>Die Sachurteilsvoraussetzungen gemäss Art. 78 ff. BGG sind erfüllt und geben zu keinen Bemerkungen Anlass.</w:t>
      </w:r>
    </w:p>
    <w:p>
      <w:r>
        <w:rPr>
          <w:b/>
        </w:rPr>
        <w:t>E. 2</w:t>
      </w:r>
    </w:p>
    <w:p>
      <w:r>
        <w:t>Das zuständige Gericht ordnet an Stelle der Untersuchungs- oder der Sicherheitshaft eine oder mehrere mildere Massnahmen an, wenn sie den gleichen Zweck wie die Haft erfüllen ( Art. 237 Abs. 1 StPO ). Eine Ersatzmassnahme stellt namentlich das Verbot dar, mit bestimmten Personen Kontakte zu pflegen ( Art. 237 Abs. 2 lit. g StPO ). Damit soll verhindert werden, dass der Beschuldigte andere Personen beeinflusst oder auf Beweismittel einwirkt, um die Wahrheitsfindung zu beeinträchtigen (Kollusionsgefahr; Art. 221 Abs. 1 lit. b StPO ). Die Ersatzmassnahme ist nur zulässig, wenn kumulativ zum dringenden Tatverdacht ( Art. 221 Abs. 1 StPO ) ein besonderer Haftgrund ( Art. 221 Abs. 1 lit. a-c StPO ) hinzutritt. Die Ersatzmassnahme muss ihrerseits verhältnismässig sein, insbesondere in zeitlicher Hinsicht ( BGE 140 IV 74 E. 2.2 S. 78).</w:t>
      </w:r>
    </w:p>
    <w:p>
      <w:r>
        <w:rPr>
          <w:b/>
        </w:rPr>
        <w:t>E. 3.1</w:t>
      </w:r>
    </w:p>
    <w:p>
      <w:r>
        <w:t>Der Beschwerdeführer bestreitet den dringenden Tatverdacht. Dieser beruhe einzig auf den widersprüchlichen Aussagen der Ehefrau.</w:t>
      </w:r>
    </w:p>
    <w:p>
      <w:r>
        <w:rPr>
          <w:b/>
        </w:rPr>
        <w:t>E. 3.2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 BGE 137 IV 122 E. 3.2 S. 126 f. mit Hinweisen). Bei Beginn der Strafuntersuchung sind die Anforderungen an den dringenden Tatverdacht noch geringer. Im Laufe des Strafverfahrens ist ein immer strengerer Massstab an die Erheblichkeit und Konkretheit des Tatverdachts zu stellen ( BGE 137 IV 122 E. 3.1 und 3.3 S. 126 f. mit Hinweis). "Aussage-gegen-Aussage-Konstellationen", in welchen sich belastende Aussagen des mutmasslichen Opfers und bestreitende Aussagen der beschuldigten Person gegenüberstehen, müssen keineswegs zwingend oder auch nur höchstwahrscheinlich gestützt auf den Grundsatz "in dubio pro reo" zu einem Freispruch führen. Die einlässliche Würdigung der Aussagen der Beteiligten wird Sache des urteilenden Gerichts sein. Stuft die Vorinstanz gestützt auf eine summarische Beweiswürdigung die Aussagen des mutmasslichen Opfers als glaubhafter als jene des Beschuldigten ein und folgert sie gestützt darauf, eine Verurteilung erscheine wahrscheinlich, verletzt dies kein Bundesrecht ( BGE 137 IV 122 E. 3.3 S. 127).</w:t>
      </w:r>
    </w:p>
    <w:p>
      <w:r>
        <w:rPr>
          <w:b/>
        </w:rPr>
        <w:t>E. 3.3</w:t>
      </w:r>
    </w:p>
    <w:p>
      <w:r>
        <w:t>Der Vorwurf, der Beschwerdeführer habe auch die Söhne geschlagen, stützt sich einzig auf die belastenden Aussagen der Ehefrau. Die Vorinstanz würdigt diese als nicht unglaubhaft. Die kleineren Ungenauigkeiten und Widersprüche seien nicht geeignet, die Glaubhaftigkeit zu erschüttern. Dem ist zuzustimmen. Der Beschwerdeführer nennt keinen Grund dafür, weshalb ihn die Ehefrau zu Unrecht belasten sollte. Das ist auch nicht ersichtlich. Wie gesagt, bedeutet der Umstand, dass Aussage gegen Aussage steht, keineswegs, dass es zu einem Freispruch kommen muss. Wenn sich der Beschwerdeführer zu Einzelheiten der Würdigung der Aussagen der Ehefrau äussert, verkennt er, dass es im jetzigen Verfahrensstadium nicht Aufgabe des Bundesgerichts ist, eine umfassende Beweiswürdigung vorzunehmen. Das Verfahren befindet sich noch am Anfang. Der Beschwerdeführer konnte, da er Einvernahmeunfähigkeit geltend macht, noch nicht befragt werden. In Anbetracht dessen hält es vor Bundesrecht stand, wenn die Vorinstanz den dringenden Tatverdacht derzeit bejaht hat. Die Beschwerde ist insoweit unbegründet.</w:t>
      </w:r>
    </w:p>
    <w:p>
      <w:r>
        <w:rPr>
          <w:b/>
        </w:rPr>
        <w:t>E. 4.1</w:t>
      </w:r>
    </w:p>
    <w:p>
      <w:r>
        <w:t>Der Beschwerdeführer rügt, das Kontaktverbot zu seinen Söhnen sei nicht verhältnismässig.</w:t>
      </w:r>
    </w:p>
    <w:p>
      <w:r>
        <w:rPr>
          <w:b/>
        </w:rPr>
        <w:t>E. 4.2</w:t>
      </w:r>
    </w:p>
    <w:p>
      <w:r>
        <w:t>Ersatzmassnahmen stellen Zwangsmassnahmen gemäss Art. 196 ff. StPO dar. Diese können nur angeordnet werden, wenn sie verhältnismässig sind ( Art. 197 Abs. 1 lit. c-d StPO i.V.m. Art. 36 Abs. 3 BV ; Urteil 1B_246/2014 vom 26. August 2014 E. 2.1 mit Hinweisen). Auch ein Eingriff in das vom Beschwerdeführer angerufene Recht auf Familie ( Art. 14 BV und Art. 8 EMRK ) ist nur zulässig, wenn er verhältnismässig ist ( Art. 36 Abs. 3 BV und Art. 8 Ziff. 2 EMRK ).</w:t>
      </w:r>
    </w:p>
    <w:p>
      <w:r>
        <w:rPr>
          <w:b/>
        </w:rPr>
        <w:t>E. 4.3</w:t>
      </w:r>
    </w:p>
    <w:p>
      <w:r>
        <w:t>Beim Beschwerdeführer besteht unstreitig Kollusionsgefahr. Diese ist als erheblich einzustufen. Das Kontaktverbot mit den Söhnen ist geeignet, Kollusionshandlungen zu verhindern. Dass diese mit milderen Massnahmen verhindert werden könnten, legt der Beschwerdeführer nicht dar und ist auch nicht ersichtlich. Unter den gegebenen Umständen ist das Kontaktverbot als zumutbar anzusehen. Die Kollusionsgefahr könnte höchstens behoben werden, wenn die Söhne einvernommen würden, was bisher noch nicht geschehen ist. Die Staatsanwaltschaft möchte den Söhnen aufgrund ihres Alters eine Einvernahme im Strafverfahren aber möglichst ersparen. Dies ist nachvollziehbar. Der Beschwerdeführer konnte, wie gesagt, noch nicht befragt werden, da er Einvernahmeunfähigkeit geltend macht. Ob es sich dabei um eine Schutzbehauptung handelt, wird derzeit gutachterlich abgeklärt. Das Gutachten soll spätestens Ende März 2015 vorliegen. Dann wird Klarheit darüber bestehen, ob der Beschwerdeführer befragt werden kann. Sollte dies möglich sein, könnte sich, je nach dessen Aussagen, die Einvernahme der Söhne als überflüssig erweisen. Damit ist die Aufrechterhaltung des Kontaktverbots zu den Söhnen derzeit noch als verhältnismässig anzusehen. Sollte der Beschwerdeführer tatsächlich einvernahmeunfähig sein, dürfte sich die staatsanwaltschaftliche Befragung der Söhne kaum mehr vermeiden lassen. Diese wäre dann zügig durchzuführen. Danach wäre die Frage des Kontaktverbots neu zu beurteilen. Die Beschwerde ist auch im vorliegenden Punkt unbegründet.</w:t>
      </w:r>
    </w:p>
    <w:p>
      <w:r>
        <w:rPr>
          <w:b/>
        </w:rPr>
        <w:t>E. 5</w:t>
      </w:r>
    </w:p>
    <w:p>
      <w:r>
        <w:t>Die Beschwerde ist abzuweisen. Der Beschwerdeführer stellt ein Gesuch um unentgeltliche Rechtspflege. Da er seine finanzielle Bedürftigkeit ausreichend glaubhaft macht und die Beschwerde nicht zum Vornherein aussichtslos war, ist dem Gesuch stattzugeben ( Art. 64 BGG ). Es werden deshalb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