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1B_319/2015 vom 26. November 2015</w:t>
      </w:r>
    </w:p>
    <w:p>
      <w:r>
        <w:t>Bundesgericht, 2015-11-26, DE</w:t>
      </w:r>
    </w:p>
    <w:p>
      <w:r>
        <w:rPr>
          <w:b/>
        </w:rPr>
        <w:t xml:space="preserve">Quelle: </w:t>
      </w:r>
      <w:r>
        <w:t>https://mcp.opencaselaw.ch/entscheid/bger_1B_319_2015</w:t>
      </w:r>
    </w:p>
    <w:p>
      <w:r>
        <w:t>FR: TF 1B_319/2015 du 26 novembre 2015</w:t>
      </w:r>
    </w:p>
    <w:p>
      <w:r>
        <w:t>IT: TF 1B_319/2015 del 26 novembre 2015</w:t>
      </w:r>
    </w:p>
    <w:p>
      <w:pPr>
        <w:pStyle w:val="Heading2"/>
      </w:pPr>
      <w:r>
        <w:t>Erwägungen</w:t>
      </w:r>
    </w:p>
    <w:p>
      <w:r>
        <w:rPr>
          <w:b/>
        </w:rPr>
        <w:t>E. 1.1</w:t>
      </w:r>
    </w:p>
    <w:p>
      <w:r>
        <w:t>Bei der angefochtenen Verfügung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 Urteil 1B_297/2015 vom 26. Oktober 2015 E. 1.2; je mit Hinweisen). Der Beschwerdeführer hat detailliert dargelegt, weshalb nach seiner Auffassung derartige Gründe hier vorliegen. Damit ist die Sachurteilsvoraussetzung von Art. 93 Abs. 1 lit. a BGG erfüllt. Auf die Beschwerde ist grundsätzlich einzutreten.</w:t>
      </w:r>
    </w:p>
    <w:p>
      <w:r>
        <w:rPr>
          <w:b/>
        </w:rPr>
        <w:t>E. 1.3</w:t>
      </w:r>
    </w:p>
    <w:p>
      <w:r>
        <w:t>Nicht einzutreten ist auf die Beschwerde allerdings insoweit, als sie über das Prozessthema hinausgeht und damit von vornherein nicht geeignet ist aufzuzeigen, inwiefern der angefochtene Entscheid Recht verletzt ( Art. 42 Abs. 2 BGG ). Dies betrifft die in verschiedener Hinsicht vorgetragene Kritik am erstinstanzlichen Urteil und an der Verfahrensführung, so etwa das Vorbringen, das Urteil sei politisch motiviert und die Berufung werde geheim gehalten, weil darin der Vorwurf des Amtsmissbrauchs erhoben werde. Mit dem beantragten Wechsel der amtlichen Verteidigung hat dies nichts zu tun.</w:t>
      </w:r>
    </w:p>
    <w:p>
      <w:r>
        <w:rPr>
          <w:b/>
        </w:rPr>
        <w:t>E. 2.1</w:t>
      </w:r>
    </w:p>
    <w:p>
      <w:r>
        <w:t>Der Beschwerdeführer macht geltend, die angefochtene Verfügung verletze Art. 134 Abs. 2 StPO und Art. 9 BV , weil die Vorinstanz zu Unrecht davon ausgegangen sei, dass kein Grund für einen Wechsel der amtlichen Verteidigung vorliege.</w:t>
      </w:r>
    </w:p>
    <w:p>
      <w:r>
        <w:rPr>
          <w:b/>
        </w:rPr>
        <w:t>E. 2.2</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t>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 (zum Ganzen: Urteil 1B_297/2015 vom 26. Oktober 2015 E. 2.3 mit Hinweisen).</w:t>
      </w:r>
    </w:p>
    <w:p>
      <w:r>
        <w:rPr>
          <w:b/>
        </w:rPr>
        <w:t>E. 2.3</w:t>
      </w:r>
    </w:p>
    <w:p>
      <w:r>
        <w:t>Der Beschwerdeführer wirft seiner amtlichen Verteidigerin vor, nicht erkannt zu haben, dass anlässlich der Urteilsverkündung Art. 335 Abs. 2 StPO verletzt worden sei, weil eine Richterin gefehlt habe. Weiter äussert er die Vermutung, die amtliche Verteidigerin habe den Mangel wahrscheinlich doch erkannt, jedoch nicht gerügt, um ihn in Zusammenarbeit mit der Staatsanwaltschaft unter den Teppich zu kehren. Seine Verteidigungsabsichten habe sie sabotiert, indem sie völlig unerwartet die zuvor vereinbarte juristische Argumentation geändert habe. Er selbst habe sich mit einer Beschwerde gegen das Unterdrücken eines Führungsberichts des Gefängnisses wehren müssen und insofern Recht erhalten, als das Kantonsgericht schliesslich verfügt habe, ein solcher Bericht sei für das Berufungsverfahren einzuholen. Weiter kritisiert der Beschwerdeführer, dass die Vorinstanz seinen Darstellungen nicht folgen wolle, solange diese nicht in den Akten ausgewiesen seien. Die Argumentation, zwischen ihm und seiner amtlichen Verteidigerin seien keine weiteren Gespräche mehr nötig, verlet-ze Verfahrensgrundsätze.</w:t>
      </w:r>
    </w:p>
    <w:p>
      <w:r>
        <w:rPr>
          <w:b/>
        </w:rPr>
        <w:t>E. 2.4</w:t>
      </w:r>
    </w:p>
    <w:p>
      <w:r>
        <w:t>Die Vorinstanz führte im Wesentlichen aus, es gebe keine konkreten Hinweise auf eine erhebliche Störung des Vertrauensverhältnis-ses. Der Entscheid darüber, welche Beweisanträge und juristischen Argumente sachgerecht seien, liege im Zweifelsfall im pflichtgemässen Ermessen der Verteidigung. Dass die amtliche Verteidigerin für die Staatsanwaltschaft arbeite und dem Beschwerdeführer gar gedroht habe, seien blosse Behauptungen. Hinsichtlich des Vorwurfs, die amtliche Verteidigerin habe einen krassen Verfahrensmangel anlässlich der erstinstanzlichen Urteilseröffnung weder erkannt noch geltend gemacht, sei darauf hinzuweisen, dass die Frage, ob ein derartiger Mangel vorliege, im Rahmen des Berufungsurteils zu entscheiden sein werde. Im Übrigen sei im Stadium des Rechtsmittelverfahrens ein strengerer Massstab an den Wechsel der amtlichen Verteidigung zu legen. Schliesslich sei auch zu berücksichtigen, dass keine besonders ausführlichen Besprechungen zwischen dem Beschuldigten und seiner Verteidigerin mehr notwendig sein werden.</w:t>
      </w:r>
    </w:p>
    <w:p>
      <w:r>
        <w:rPr>
          <w:b/>
        </w:rPr>
        <w:t>E. 2.5</w:t>
      </w:r>
    </w:p>
    <w:p>
      <w:r>
        <w:t>Die Kritik des Beschwerdeführers an diesen Ausführungen ist nicht geeignet, einen Wechsel der amtlichen Verteidigung als erforderlich erscheinen zu lassen. Es trifft zu, dass ein allfälliger Mangel bei der Eröffnung des erstinstanzlichen Urteils im Rahmen des Berufungsverfahrens geltend gemacht werden kann. Weiter ist nicht zu beanstanden, dass die Vorinstanz die Behauptungen des Beschwerdeführers, wonach die amtliche Verteidigerin in Wahrheit für die Staatsanwaltschaft arbeite und ihm auch schon gedroht habe, als unbelegte Behauptungen unberücksichtigt gelassen hat (vgl. Art. 97 Abs. 1 BGG ). Die amtliche Verteidigerin selbst befürwortet zwar auch einen Wechsel, doch geht aus ihrer Vernehmlassung hervor, dass aus ihrer Sicht die Schwierigkeiten in der Zusammenarbeit allein auf die fehlende Kooperationsbereitschaft des Beschwerdeführers zurückgehen. Dass dieser abweichende Vorstellungen davon hat, wie im Verfahren vorzugehen ist, und seine Verteidigerin deshalb als nicht mehr geeignet ansieht, reicht für einen Wechsel der amtlichen Verteidigung nicht aus. Eine Pflichtvernachlässigung durch die amtliche Verteidigerin ist nicht ersichtlich. Insbesondere ist die Meinungsverschiedenheit darüber, ob ein Antrag an die Berufungsinstanz auf Einholung eines Führungsberichts vorteilhaft wäre, nicht Ausdruck einer solchen Pflichtvernachlässigung. Wie erwähnt, ist es im Zweifelsfall am Verteidiger zu entscheiden, welche Beweisanträge und juristischen Argumentationen er als sachgerecht und geboten erachtet.</w:t>
      </w:r>
    </w:p>
    <w:p>
      <w:r>
        <w:t>Unter diesen Voraussetzungen ist ein (erneuter) Wechsel der amtlichen Verteidigung nicht geboten. Es ist dem Beschwerdeführer zuzumuten, sich von seiner gegenwärtigen amtlichen Verteidigerin weiter vertreten zu lassen und zu einer konstruktiven Zusammenarbeit das Seine beizutragen.</w:t>
      </w:r>
    </w:p>
    <w:p>
      <w:r>
        <w:rPr>
          <w:b/>
        </w:rPr>
        <w:t>E. 3</w:t>
      </w:r>
    </w:p>
    <w:p>
      <w:r>
        <w:t>Die Beschwerde ist abzuweisen, soweit darauf einzutreten ist.</w:t>
      </w:r>
    </w:p>
    <w:p>
      <w:r>
        <w:t>Der Beschwerdeführer ersucht um unentgeltliche Prozessführung. Da die gesetzlichen Voraussetzungen erfüllt sind, ist dem Gesuch stattzugeben ( Art. 64 Abs. 1 BGG ). Es werden dem Beschwerdeführer deshalb keine Gerichtskosten auferlegt. Eine Parteientschädigung fällt ausser Betracht, da der Beschwerdeführer im bundesgerichtlichen Verfahren nicht vertreten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