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316/2012 vom 31. Juli 2012</w:t>
      </w:r>
    </w:p>
    <w:p>
      <w:r>
        <w:t>Bundesgericht, 2012-07-31, DE</w:t>
      </w:r>
    </w:p>
    <w:p>
      <w:r>
        <w:rPr>
          <w:b/>
        </w:rPr>
        <w:t xml:space="preserve">Quelle: </w:t>
      </w:r>
      <w:r>
        <w:t>https://mcp.opencaselaw.ch/entscheid/bger_1B_316_2012</w:t>
      </w:r>
    </w:p>
    <w:p>
      <w:r>
        <w:t>FR: TF 1B 316/2012 du 31 juillet 2012</w:t>
      </w:r>
    </w:p>
    <w:p>
      <w:r>
        <w:t>IT: TF 1B 316/2012 del 31 luglio 2012</w:t>
      </w:r>
    </w:p>
    <w:p>
      <w:pPr>
        <w:pStyle w:val="Heading2"/>
      </w:pPr>
      <w:r>
        <w:t>Regeste</w:t>
      </w:r>
    </w:p>
    <w:p>
      <w:r>
        <w:t>Strafverfahren; Nichtanhandnahme | Strafprozess</w:t>
      </w:r>
    </w:p>
    <w:p>
      <w:pPr>
        <w:pStyle w:val="Heading2"/>
      </w:pPr>
      <w:r>
        <w:t>Erwägungen</w:t>
      </w:r>
    </w:p>
    <w:p>
      <w:r>
        <w:rPr>
          <w:b/>
        </w:rPr>
        <w:t>E. 1.1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ist somit zur Beschwerde befugt, wenn er sich als Privatkläger am kantonalen Verfahren beteiligt hat und sich der angefochtene Entscheid auf die Beurteilung allfälliger Zivilansprüche auswirken kann (Art. 81 Abs. 1 lit. a und lit. b Ziff. 5 BGG). Der Beschwerdeführer hat sich als Privatkläger am kantonalen Verfahren beteiligt. Eine allfällige Verurteilung der Beschwerdegegnerin könnte jedenfalls teilweise Zivilansprüche des Beschwerdeführers begründen, wie er sie in seiner Strafanzeige auch stellte. Auf die Beschwerde ist grundsätzlich einzutreten. Gegenstand des Verfahrens sind allerdings nur in der Beschwerdeschrift selber enthaltene Vorbringen ( Art. 42 Abs. 2 BGG ; BGE 134 II 244 E. 2.1; 133 II 396 E. 3.2); Verweise auf frühere Rechtsschriften und Akten sind unbeachtlich.</w:t>
      </w:r>
    </w:p>
    <w:p>
      <w:r>
        <w:rPr>
          <w:b/>
        </w:rPr>
        <w:t>E. 1.2</w:t>
      </w:r>
    </w:p>
    <w:p>
      <w:r>
        <w:t>Gesetzlich bestimmte Fristen wie die Beschwerdefrist können nicht erstreckt werden ( Art. 47 Abs. 1 BGG ). Der Antrag auf Einräumung einer Gelegenheit zur Beschwerdeergänzung käme einer derartigen Fristerstreckung gleich, weshalb ihm nicht entsprochen werden kann. Der Hinweis des Beschwerdeführers auf Art. 43 BGG ist unbehelflich. Die dort vorgesehene Möglichkeit der Beschwerdeergänzung betrifft ausschliesslich Beschwerden auf dem Gebiet der internationalen Rechtshilfe in Strafsachen. Vorliegend handelt es sich nicht um einen solchen Rechtsstreit.</w:t>
      </w:r>
    </w:p>
    <w:p>
      <w:r>
        <w:rPr>
          <w:b/>
        </w:rPr>
        <w:t>E. 2.1</w:t>
      </w:r>
    </w:p>
    <w:p>
      <w:r>
        <w:t>Die Staatsanwaltschaft nimmt nach Art. 310 Abs. 1 lit. a StPO eine Untersuchung u.a. dann nicht an die Hand, sobald aufgrund der Strafanzeige oder des Polizeirapports feststeht, dass die fraglichen Straftatbestände eindeutig nicht erfüllt sind. Eine Untersuchung darf danach nur dann nicht an die Hand genommen werden, wenn sicher feststeht, dass der Sachverhalt unter keinen Straftatbestand fällt. Im Zweifelsfall - wenn die Sach- und/oder die Rechtslage nicht von vornherein klar sind - ist eine Untersuchung zu eröffnen ( BGE 137 IV 285 E. 2.3 mit Hinweisen auf die Lehre).</w:t>
      </w:r>
    </w:p>
    <w:p>
      <w:r>
        <w:rPr>
          <w:b/>
        </w:rPr>
        <w:t>E. 2.2</w:t>
      </w:r>
    </w:p>
    <w:p>
      <w:r>
        <w:t>Die Anklagekammer hat im angefochtenen Entscheid die Nichtanhandnahmeverfügung geschützt und dabei weitgehend auf deren Begründung verwiesen. Was der Beschwerdeführer dagegen vorbringt, ist nicht geeignet, die Nichtanhandnahme in Frage zu stellen.</w:t>
      </w:r>
    </w:p>
    <w:p>
      <w:r>
        <w:rPr>
          <w:b/>
        </w:rPr>
        <w:t>E. 2.2.1</w:t>
      </w:r>
    </w:p>
    <w:p>
      <w:r>
        <w:t>Der Beschwerdeführer wirft der Beschwerdegegnerin in seiner Strafanzeige verschiedene Antragsdelikte vor, die sie zwischen 2004 und 2007 begangen haben soll (vgl. vorn A. 3. Absatz). Selbst wenn der Beschwerdeführer zwischenzeitlich gesundheitliche Probleme gehabt haben sollte und noch heute an den Folgen mehrerer Operationen leidet, ist es offensichtlich zutreffend, dass die dreimonatige Frist für die Stellung der Strafanträge (Art. 29 aStGB bzw. Art. 30 StGB ) im Oktober 2011, als er seine Strafanzeige einreichte, längst abgelaufen war.</w:t>
      </w:r>
    </w:p>
    <w:p>
      <w:r>
        <w:rPr>
          <w:b/>
        </w:rPr>
        <w:t>E. 2.2.2</w:t>
      </w:r>
    </w:p>
    <w:p>
      <w:r>
        <w:t>Das Verfahren wegen Unterlassung der Nothilfe im Sinn von Art. 128 StGB und Erpressung im Sinn von Art. 156 Abs. 1 StGB (vorn A. 3. Absatz) hat das Untersuchungsamt zu Recht und mit zutreffender Begründung (Nichtanhandnahmeverfügung Ziff. 2 c und e S. 3) nicht an die Hand genommen. Darauf ist zu verweisen.</w:t>
      </w:r>
    </w:p>
    <w:p>
      <w:r>
        <w:rPr>
          <w:b/>
        </w:rPr>
        <w:t>E. 2.2.3</w:t>
      </w:r>
    </w:p>
    <w:p>
      <w:r>
        <w:t>Die Strafanzeige enthält keine weiteren, in inhaltlicher, räumlicher und zeitlicher Hinsicht ausreichend konkretisierte Tatvorwürfe, die die Eröffnung einer Strafuntersuchung rechtfertigen könnten. Der Beschwerdeführer erhebt in seiner Strafanzeige denn auch weniger konkrete Tatvorwürfe, sondern legt im Wesentlichen bloss dar, wie aus seiner Sicht die Beschwerdegegnerin durch permanentes Fehlverhalten ihr gemeinsames Gastrounternehmen zum Scheitern gebracht habe. Für die Aufarbeitung der Gründe, die zum Niedergang der geschäftlichen und privaten Beziehung des Beschwerdeführers zur Beschwerdegegnerin führten, steht das Strafverfahren indessen nicht zur Verfügung.</w:t>
      </w:r>
    </w:p>
    <w:p>
      <w:r>
        <w:rPr>
          <w:b/>
        </w:rPr>
        <w:t>E. 3</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