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1B_315/2019 vom 24. September 2019</w:t>
      </w:r>
    </w:p>
    <w:p>
      <w:r>
        <w:t>Bundesgericht, 2019-09-24, FR</w:t>
      </w:r>
    </w:p>
    <w:p>
      <w:r>
        <w:rPr>
          <w:b/>
        </w:rPr>
        <w:t xml:space="preserve">Quelle: </w:t>
      </w:r>
      <w:r>
        <w:t>https://mcp.opencaselaw.ch/entscheid/bger_1B_315_2019</w:t>
      </w:r>
    </w:p>
    <w:p>
      <w:r>
        <w:t>FR: TF 1B_315/2019 du 24 septembre 2019</w:t>
      </w:r>
    </w:p>
    <w:p>
      <w:r>
        <w:t>IT: TF 1B_315/2019 del 24 settembre 2019</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46 al. 1 let . c et 100 al. 1 LTF) contre une décision rendue en dernière instance cantonale ( art. 80 al. 1 LTF ) et les conclusions prises sont recevables ( art. 107 LTF ). Il y a donc lieu d'entrer en matière.</w:t>
      </w:r>
    </w:p>
    <w:p>
      <w:r>
        <w:rPr>
          <w:b/>
        </w:rPr>
        <w:t>E. 2</w:t>
      </w:r>
    </w:p>
    <w:p>
      <w:r>
        <w:t>Selon l' art. 99 al. 1 LTF , aucun fait nouveau ni preuve nouvelle ne peut être présenté à moins de résulter de la décision de l'autorité précédente. En l'espèce, la pièce produite par les recourants en annexe à leur recours, à savoir l'ordonnance du 7 juin 2019 de la Chambre pénale prononçant la récusation des experts judiciaires, ne peut pas être prise en considération par le Tribunal fédéral. Cette pièce, de même que les faits qui en découlent, sont nouveaux au sens de l' art. 99 LTF et, partant, irrecevables.</w:t>
      </w:r>
    </w:p>
    <w:p>
      <w:r>
        <w:rPr>
          <w:b/>
        </w:rPr>
        <w:t>E. 3</w:t>
      </w:r>
    </w:p>
    <w:p>
      <w:r>
        <w:t>Invoquant des violations des art. 29 al. 1 Cst. et 56 let. f CPP, les recourants contestent le rejet de leur demande tendant à la récusation du Procureur intimé. Ils font valoir que celui-ci a réalisé, systématiquement à leur détriment, toute une série de manquements et d'erreurs dans le cadre de l'enquête en cours, en particulier en lien avec l'établissement de l'expertise judiciaire et de son complément. Ils soutiennent que les violations invoquées, de même que, d'une manière générale, l'attitude adoptée par l'intimé à leur égard, sont propres à établir un soupçon de prévention.</w:t>
      </w:r>
    </w:p>
    <w:p>
      <w:r>
        <w:rPr>
          <w:b/>
        </w:rPr>
        <w:t>E. 3.1</w:t>
      </w:r>
    </w:p>
    <w:p>
      <w:r>
        <w:t>Un magistrat est récusable, aux termes de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et les références citées).</w:t>
      </w:r>
    </w:p>
    <w:p>
      <w:r>
        <w:t>Dans le cadre de l'instruction, le ministère public est tenu à une certaine impartialité même s'il peut être amené, provisoirement du moins, à adopter une attitude plus orientée à l'égard du prévenu ou à faire état de ses convictions à un moment donné de l'enquête ( ATF 138 IV 142 consid. 2.2.1 p. 145); tel est notamment le cas lorsqu'il décide de l'ouverture d'une instruction (qui suppose l'existence de soupçons suffisants au sens de l' art. 309 al. 1 CPP ) ou lorsqu'il ordonne des mesures de contrainte (arrêt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180; 138 IV 142 ibidem). De manière générale, ses déclarations doivent être interprétées de façon objective, en tenant compte de leur contexte, de leurs modalités et du but apparemment recherché par leur auteur (arrêts 1B_46/2019 du 24 avril 2019 consid. 3.1; 1B_150/2016 du 19 mai 2016 consid. 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3.2.1</w:t>
      </w:r>
    </w:p>
    <w:p>
      <w:r>
        <w:t>La cour cantonale a tenu pour établi que, dans le cadre de l'établissement des modalités du complément d'expertise, en janvier 2019, le Procureur intimé s'était entretenu au téléphone avec le mandataire du prévenu G.________, alors qu'il refusait systématiquement toute conversation téléphonique avec le mandataire des recourants depuis 2016. L'entretien en cause n'avait de surcroît pas fait l'objet d'une consignation au procès-verbal, en violation de l' art. 76 al. 1 CPP (cf. ordonnance entreprise, p. 10).</w:t>
      </w:r>
    </w:p>
    <w:p>
      <w:r>
        <w:t>Une autre violation de cette même disposition, réparée depuis lors, a également été constatée s'agissant de l'absence de production au dossier d'une dizaine d'e-mails échangés entre l'intimé et l'expert L.________ dans le cadre de la mise en oeuvre de l'expertise médicale (cf. ordonnance entreprise, p. 11 s.). Enfin, il a été relevé que l'intimé n'avait pas respecté le droit d'être entendu des recourants en établissant les modalités de la séance tenue le 1</w:t>
      </w:r>
    </w:p>
    <w:p>
      <w:r>
        <w:t>er février 2019 en présence de l'expert, sans leur remettre préalablement la prise de position écrite y relative du prévenu G.________ (cf. ordonnance entreprise, p. 9).</w:t>
      </w:r>
    </w:p>
    <w:p>
      <w:r>
        <w:rPr>
          <w:b/>
        </w:rPr>
        <w:t>E. 3.2.2</w:t>
      </w:r>
    </w:p>
    <w:p>
      <w:r>
        <w:t>En sus des éléments qui précèdent, il convient encore de prendre en considération que le magistrat intimé a déjà rendu dans la présente cause, au détriment des recourants, des ordonnances de non-entrée en matière et de classement à l'égard des prévenus. Il ressort en effet du dossier cantonal que ces décisions avaient été annulées sur recours des plaignants, la Chambre pénale ayant alors constaté que le Procureur n'avait, à tort, pas estimé utile de soumettre aux experts judiciaires les rapports et avis médicaux produits par les recourants, ni d'instruire la cause quant à l'éventuelle confection de faux protocoles opératoires par les prévenus (cf. ordonnance du 28 mars 2018, p. 8 s.).</w:t>
      </w:r>
    </w:p>
    <w:p>
      <w:r>
        <w:t>L'annulation d'une ordonnance de classement rend la reprise de la procédure plus délicate pour le magistrat instructeur. Néanmoins, la jurisprudence considère que le magistrat appelé à statuer à nouveau après l'annulation d'une de ses décisions est en principe à même de tenir compte de l'avis exprimé par l'instance supérieure et de s'adapter aux injonctions qui lui sont faites (cf. ATF 143 IV 69 consid. 3.4 p. 74). Il n'y a pas lieu de revenir sur cette jurisprudence puisque l'annulation d'une décision judiciaire par l'instance de recours constitue un événement ordinaire dans une procédure judiciaire.</w:t>
      </w:r>
    </w:p>
    <w:p>
      <w:r>
        <w:rPr>
          <w:b/>
        </w:rPr>
        <w:t>E. 3.2.3</w:t>
      </w:r>
    </w:p>
    <w:p>
      <w:r>
        <w:t>Dans la présente cause cependant, au caractère délicat d'une reprise de cause après annulation d'une ordonnance de classement, s'ajoutent des violations répétées de diverses règles de procédure pénale réalisées au détriment des recourants après l'annulation de l'ordonnance de classement, respectivement du refus d'entrer en matière, alors que l'annulation de l'ordonnance de classement était déjà justifiée par des erreurs de procédure. En outre, certaines des violations commises par l'intimé sont loin d'être anodines, s'agissant en particulier de son refus de s'entretenir par téléphone avec le mandataire des recourants, alors même qu'il a eu un entretien téléphonique avec le mandataire de l'un des prévenus sans le consigner au procès-verbal. L'ensemble de ces circonstances particulières - reprise de cause après annulation d'un classement et erreurs de procédure au détriment des recourants - conduisent à considérer, au moins en apparence, le magistrat instructeur intimé suspect de vouloir persister à privilégier la position défendue par les prévenus.</w:t>
      </w:r>
    </w:p>
    <w:p>
      <w:r>
        <w:t>Au vu de ces éléments, la cour cantonale a violé le droit fédéral en rejetant la demande de récusation du Procureur intimé.</w:t>
      </w:r>
    </w:p>
    <w:p>
      <w:r>
        <w:rPr>
          <w:b/>
        </w:rPr>
        <w:t>E. 4</w:t>
      </w:r>
    </w:p>
    <w:p>
      <w:r>
        <w:t>Il s'ensuit que le recours doit être admis. L'ordonnance attaquée est annulée et la demande de récusation du Procureur intimé est admise. Les recourants, qui obtiennent gain de cause avec l'assistance d'un avocat, ont droit à des dépens pour les procédures fédérale et cantonale à la charge du canton du Valais ( art. 68 al. 1 et 5 LTF ). Il n'est pas perçu de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