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1B_315/2018 vom 4. Juli 2018</w:t>
      </w:r>
    </w:p>
    <w:p>
      <w:r>
        <w:t>Bundesgericht, 2018-07-04, DE</w:t>
      </w:r>
    </w:p>
    <w:p>
      <w:r>
        <w:rPr>
          <w:b/>
        </w:rPr>
        <w:t xml:space="preserve">Quelle: </w:t>
      </w:r>
      <w:r>
        <w:t>https://mcp.opencaselaw.ch/entscheid/bger_1B_315_2018</w:t>
      </w:r>
    </w:p>
    <w:p>
      <w:r>
        <w:t>FR: TF 1B_315/2018 du 4 juillet 2018</w:t>
      </w:r>
    </w:p>
    <w:p>
      <w:r>
        <w:t>IT: TF 1B_315/2018 del 4 luglio 2018</w:t>
      </w:r>
    </w:p>
    <w:p>
      <w:pPr>
        <w:pStyle w:val="Heading2"/>
      </w:pPr>
      <w:r>
        <w:t>Erwägungen</w:t>
      </w:r>
    </w:p>
    <w:p>
      <w:r>
        <w:rPr>
          <w:b/>
        </w:rPr>
        <w:t>E. 1</w:t>
      </w:r>
    </w:p>
    <w:p>
      <w:r>
        <w:t>Die Staatsanwaltschaft Basel-Stadt führt gegen A.________ ein Strafverfahren wegen versuchten Betrugs und versuchter Geldwäscherei. Seit dem 14. März 2018 liegt die Anklageschrift vor. Mit Verfügung vom 4. Juni 2018 verlängerte das Zwangsmassnahmengericht des Kantons Basel-Stadt die Sicherheitshaft bis zum 13. August 2018. Dagegen erhob A.________ am 4. Juni 2018 Beschwerde, welche das Appellationsgericht des Kantons Basel-Stadt mit Entscheid vom 25. Juni 2018 abwies. Das Appellationsgericht bejahte das Vorliegen eines dringenden Tatverdachts sowie der Fluchtgefahr. Die Ersatzmassnahme in Form einer Kaution erachtete es als ungeeignet, um die drohende Fluchtgefahr zu bannen.</w:t>
      </w:r>
    </w:p>
    <w:p>
      <w:r>
        <w:rPr>
          <w:b/>
        </w:rPr>
        <w:t>E. 2</w:t>
      </w:r>
    </w:p>
    <w:p>
      <w:r>
        <w:t>A.________ führt mit Eingabe vom 28. Juni 2018 Beschwerde in Strafsachen gegen den Entscheid des Appellationsgerichts des Kantons Basel-Stadt.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der keinen zulässigen Beschwerdegrund nennt, vermag mit seinen Ausführungen nicht aufzuzeigen, dass das Appellationsgericht Recht im Sinne von Art. 42 Abs. 2 BGG verletzt hätte, als es die Beschwerde abwies. Aus der Beschwerde ergibt sich nicht ansatzweise,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