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315/2011 vom 6. September 2011</w:t>
      </w:r>
    </w:p>
    <w:p>
      <w:r>
        <w:t>Bundesgericht, 2011-09-06, DE</w:t>
      </w:r>
    </w:p>
    <w:p>
      <w:r>
        <w:rPr>
          <w:b/>
        </w:rPr>
        <w:t xml:space="preserve">Quelle: </w:t>
      </w:r>
      <w:r>
        <w:t>https://mcp.opencaselaw.ch/entscheid/bger_1B_315_2011</w:t>
      </w:r>
    </w:p>
    <w:p>
      <w:r>
        <w:t>FR: TF 1B 315/2011 du 6 septembre 2011</w:t>
      </w:r>
    </w:p>
    <w:p>
      <w:r>
        <w:t>IT: TF 1B 315/2011 del 6 settembre 2011</w:t>
      </w:r>
    </w:p>
    <w:p>
      <w:pPr>
        <w:pStyle w:val="Heading2"/>
      </w:pPr>
      <w:r>
        <w:t>Regeste</w:t>
      </w:r>
    </w:p>
    <w:p>
      <w:r>
        <w:t>Strafverfahren; Nichtbekanntgabe von Zeugennamen / Rechtsverweigerung | Strafprozess</w:t>
      </w:r>
    </w:p>
    <w:p>
      <w:pPr>
        <w:pStyle w:val="Heading2"/>
      </w:pPr>
      <w:r>
        <w:t>Erwägungen</w:t>
      </w:r>
    </w:p>
    <w:p>
      <w:r>
        <w:rPr>
          <w:b/>
        </w:rPr>
        <w:t>E. 1</w:t>
      </w:r>
    </w:p>
    <w:p>
      <w:r>
        <w:t>Angefochten ist der Entscheid des Obergerichts, mit welchem es auf die Beschwerde gegen das Vorgehen der Staatsanwaltschaft, Zeugeneinvernahmen anzusetzen und die Namen der Zeugen dem Angeschuldigten und seiner Verteidigerin erst eine Stunde im Voraus bekannt zugeben, abwies, soweit es darauf eintrat. Es handelt sich um den Entscheid einer letzten kantonalen Instanz in einer Strafsache, gegen den die Beschwerde in Strafsachen zulässig ist ( Art. 78 Abs. 1, Art. 80 Abs. 1 BGG ). Er schliesst das Verfahren gegen den Beschwerdeführer nicht ab, ist mithin ein Zwischenentscheid. Als solcher ist er nach Art. 93 Abs. 1 BGG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 Die Beschwerdeführer machen zu Recht nicht geltend, die Voraussetzungen von Art. 93 Abs. 1 lit. b BGG seien erfüllt. Einwände gegen die Erhebung von Beweismitteln bzw. gegen deren Verwertbarkeit können ohne Einschränkung dem Sachrichter unterbreitet werden. Die von den Beschwerdeführern beanstandete Beschränkung der Verteidigungsrechte bei der (erstmaligen) Einvernahme von bestimmten Zeugen begründet daher keinen Nachteil rechtlicher Natur, der mit einem für den Angeschuldigten günstigen, z.B. die Verwertbarkeit der beanstandeten Beweismittel ausschliessenden Entscheid, nicht behoben werden könnte. Einem prozessarmen Angeschuldigten, der sich gegen komplexe oder schwerwiegende Anschuldigungen zur Wehr setzen muss, die unentgeltliche Rechtsverbeiständung zu verweigern mit der Folge, dass er unverteidigt bleibt, kann einen nicht wiedergutzumachenden Nachteil rechtlicher Natur bewirken, z.B. wenn die Berufungsinstanz auf die ungenügend bzw. laienhaft begründete Berufungsschrift nicht eintritt ( BGE 129 I 281 E. 1.1). Die Verweigerung der unentgeltlichen Rechtsverbeiständung ist allerdings in ihrer umfassenden Tragweite offensichtlich nicht vergleichbar mit der eng begrenzten, relativ geringfügigen und vorübergehenden Beschränkung der Verteidigungsrechte, über die sich die Beschwerdeführer vorliegend beklagen, zumal der angeschuldigte Beschwerdeführer selber rechtskundig ist. Aus dem erwähnten Bundesgerichtsentscheid können sie nichts zu ihren Gunsten ableiten. Die Beschwerdeführer berufen sich zwar ausserdem auf die Rechtsprechung, wonach das Erfordernis des nicht wieder gutzumachenden Nachteils nicht erfüllt sein muss, wenn der Rechtsuchende Rechtsverzögerung oder Rechtsverweigerung substanziiert geltend macht ( BGE 134 IV 43 E. 2.2 - 2.5 S. 45; Urteil 1B_367/2009 vom 17. Mai 2010 E. 3.1.3). Da sie indessen, wie erwähnt, ihre Einwände gegen die Durchführung der Zeugenaussagen bzw. deren Verwertung ohne Einschränkung beim Sachrichter erheben können, ist von vornherein auszuschliessen, dass der angefochtene Entscheid eine formelle Rechtsverweigerung bewirken könnte. Damit ergibt sich zusammenfassend, dass die Eintretensvoraussetzungen von Art. 93 Abs. 1 BGG nicht erfüllt sind. Auf die Beschwerde ist nicht einzutreten, ohne dass die weiteren Sachurteilsvoraussetzungen - insbesondere die (fragliche) Legitimation der Beschwerdeführerin - geprüft werden müssten.</w:t>
      </w:r>
    </w:p>
    <w:p>
      <w:r>
        <w:rPr>
          <w:b/>
        </w:rPr>
        <w:t>E. 2</w:t>
      </w:r>
    </w:p>
    <w:p>
      <w:r>
        <w:t>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