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1B_313/2015 vom 15. September 2015</w:t>
      </w:r>
    </w:p>
    <w:p>
      <w:r>
        <w:t>Bundesgericht, 2015-09-15, DE</w:t>
      </w:r>
    </w:p>
    <w:p>
      <w:r>
        <w:rPr>
          <w:b/>
        </w:rPr>
        <w:t xml:space="preserve">Quelle: </w:t>
      </w:r>
      <w:r>
        <w:t>https://mcp.opencaselaw.ch/entscheid/bger_1B_313_2015</w:t>
      </w:r>
    </w:p>
    <w:p>
      <w:r>
        <w:t>FR: TF 1B_313/2015 du 15 septembre 2015</w:t>
      </w:r>
    </w:p>
    <w:p>
      <w:r>
        <w:t>IT: TF 1B_313/2015 del 15 settembre 2015</w:t>
      </w:r>
    </w:p>
    <w:p>
      <w:pPr>
        <w:pStyle w:val="Heading2"/>
      </w:pPr>
      <w:r>
        <w:t>Erwägungen</w:t>
      </w:r>
    </w:p>
    <w:p>
      <w:r>
        <w:rPr>
          <w:b/>
        </w:rPr>
        <w:t>E. 1</w:t>
      </w:r>
    </w:p>
    <w:p>
      <w:r>
        <w:t>A.________ befindet sich in Schaffhausen in Haft. Die Berufungsverhandlung wird voraussichtlich im Dezember 2015 stattfinden. Mit Schreiben vom 27. Juli 2015 und 10. August 2015 wandte sich A.________ an das Obergericht des Kantons Schaffhausen. Dieses teilte ihm mit Schreiben vom 12. August 2015 u.a. mit, dass er in den kaum verständlichen Schreiben Probleme mit der Staatsanwaltschaft, dem Kantonsgericht sowie der amtlichen Verteidigerin geltend mache und unzufrieden mit den Haftbedingungen sei. Die Eingaben würden an die amtliche Verteidigerin weitergeleitet. Für das Obergericht bestehe derzeit kein aktueller Handlungsbedarf. Aufgrund der Akten seien auch keine Gründe für einen Wechsel der amtlichen Verteidigung ersichtlich.</w:t>
      </w:r>
    </w:p>
    <w:p>
      <w:r>
        <w:rPr>
          <w:b/>
        </w:rPr>
        <w:t>E. 2</w:t>
      </w:r>
    </w:p>
    <w:p>
      <w:r>
        <w:t>A.________ führt mit Eingabe vom 10. September 2015 Beschwerde in Strafsachen gegen das Schreiben des Obergerichts des Kantons Schaffhausen vom 12. August 2015.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seinen kaum verständlichen Ausführungen nicht aufzuzeigen, inwiefern das Obergericht seine Eingaben in rechts- oder verfassungswidriger Weise behandelt haben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