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1B_312/2019 vom 10. Juli 2019</w:t>
      </w:r>
    </w:p>
    <w:p>
      <w:r>
        <w:t>Bundesgericht, 2019-07-10, FR</w:t>
      </w:r>
    </w:p>
    <w:p>
      <w:r>
        <w:rPr>
          <w:b/>
        </w:rPr>
        <w:t xml:space="preserve">Quelle: </w:t>
      </w:r>
      <w:r>
        <w:t>https://mcp.opencaselaw.ch/entscheid/bger_1B_312_2019</w:t>
      </w:r>
    </w:p>
    <w:p>
      <w:r>
        <w:t>FR: TF 1B_312/2019 du 10 juillet 2019</w:t>
      </w:r>
    </w:p>
    <w:p>
      <w:r>
        <w:t>IT: TF 1B_312/2019 del 10 luglio 2019</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Selon l' art. 78 LTF , le recours en matière pénale est ouvert contre les décisions rendues en matière pénale, dont font partie les décisions relatives à la détention provisoire au sens des art. 212 ss CPP ( ATF 137 IV 22 consid. 1 p. 23). Les mesures de substitution ordonnées en application de l' art. 237 CPP reposent actuellement sur l'ordonnance du Tmc du 6 juin 2019 figurant au dossier cantonal, laquelle prolonge les mesures litigieuses jusqu'au 8 septembre 2019, mais dont on ignore si elle a fait l'objet d'un recours sur le plan cantonal. En l'état, le recourant conserve toutefois un intérêt juridique à la vérification de la décision attaquée en tant qu'elle concerne des mesures de substitution prononcées en lieu et place de la détention provisoire, dont il prétend qu'elles auraient un impact sur sa liberté économique garantie par l' art. 27 Cst. (art. 81 al. 1 let. a et b ch. 1 LTF).</w:t>
      </w:r>
    </w:p>
    <w:p>
      <w:r>
        <w:rPr>
          <w:b/>
        </w:rPr>
        <w:t>E. 1.2</w:t>
      </w:r>
    </w:p>
    <w:p>
      <w:r>
        <w:t>Le recours en matière pénale est une voie de réforme ( art. 107 al. 2 LTF ). Le recourant ne prend cependant pas de conclusion sur le fond du litige, se limitant à demander l'annulation de la décision attaquée et le renvoi de la cause à l'autorité précédente. A la lecture de son mémoire de recours (cf. en particulier 4ème paragraphe, p. 12), on comprend toutefois qu'il souhaite être autorisé, dans le cadre des mesures de substitution ordonnées, à établir des certificats médicaux portant sur des incapacités de travail. Cela suffit pour satisfaire aux exigences de forme déduites de l' art. 42 al. 1 et 2 LTF ( ATF 137 II 313 consid. 1.3 p. 317 et les arrêts cités).</w:t>
      </w:r>
    </w:p>
    <w:p>
      <w:r>
        <w:t>Pour le surplus, le recours a été formé en temps utile ( art. 100 al. 1 LTF ) contre une décision rendue en dernière instance cantonale ( art. 80 LTF ). Partant, il y a lieu d'entrer en matière.</w:t>
      </w:r>
    </w:p>
    <w:p>
      <w:r>
        <w:rPr>
          <w:b/>
        </w:rPr>
        <w:t>E. 2</w:t>
      </w:r>
    </w:p>
    <w:p>
      <w:r>
        <w:t>Le recourant conteste l'interdiction qui lui est faite, à titre de mesure de substitution à la détention provisoire, de délivrer des certificats d'incapacité de travail. Il y voit une violation du principe de proportionnalité.</w:t>
      </w:r>
    </w:p>
    <w:p>
      <w:r>
        <w:rPr>
          <w:b/>
        </w:rPr>
        <w:t>E. 2.1</w:t>
      </w:r>
    </w:p>
    <w:p>
      <w:r>
        <w:t>En vertu du principe de proportionnalité ancré à l' art. 36 al. 3 Cst. , l'autorité doit tenter autant que possible de substituer à la détention toute autre mesure moins incisive propre à atteindre le même résultat ( ATF 133 I 270 consid. 2.2 p. 276). Le Code de procédure pénale le prévoit expressément à l'art. 237, en énumérant, de manière non exhaustive (cf. ATF 142 IV 367 consid. 2.1 p. 370), certaines mesures de substitution telle que l'assignation à résidence ( art. 237 al. 2 let . c CPP), l'obligation d'avoir un travail régulier ( art. 237 al. 2 let . e CPP) ou l'obligation de se soumettre à un traitement médical ou à des contrôles ( art. 237 al. 2 let . f CPP).</w:t>
      </w:r>
    </w:p>
    <w:p>
      <w:r>
        <w:t>Selon l' art. 237 al. 4 CPP , les dispositions sur la détention provisoire et la détention pour des motifs de sûreté s'appliquent par analogie au prononcé des mesures de substitution ainsi qu'au recours contre elles. Ce renvoi général aux règles matérielles et formelles concernant la détention se justifie par le fait que les mesures de substitution sont ordonnées aux mêmes conditions que la détention provisoire, soit en présence de soupçons suffisants ainsi que de risques de fuite, de collusion ou de réitération ( art. 221 CPP ), conditions qui doivent en elles-mêmes faire l'objet d'une réévaluation périodique. Les mesures de substitution ne sauraient en effet sans autre être considérées comme des atteintes bénignes aux droits fondamentaux du prévenu ( ATF 141 IV 190 consid. 3.3 p. 192 s.). A l'instar de la détention provisoire ou pour des motifs de sûreté, les mesures de substitution doivent en tout temps demeurer proportionnées au but poursuivi, tant par leur nature que par leur durée ( ATF 140 IV 74 consid. 2.2 p. 78).</w:t>
      </w:r>
    </w:p>
    <w:p>
      <w:r>
        <w:t>Conformément à l' art. 237 al. 5 CPP , le tribunal peut en tout temps révoquer les mesures de substitution, en ordonner d'autres ou prononcer la détention provisoire si des faits nouveaux l'exigent ou si le prévenu ne respecte pas les obligations qui lui ont été imposées. Le tribunal compétent dispose dans ce cadre d'un large pouvoir d'appréciation, comme cela ressort de la formulation potestative de l' art. 237 al. 5 CPP (arrêt 1B_470/2016 du 16 janvier 2017 consid. 2.1; cf. également ALEXIS SCHMOCKER, Commentaire romand CPP, 2011, n. 16 ad art. 237 CPP ).</w:t>
      </w:r>
    </w:p>
    <w:p>
      <w:r>
        <w:rPr>
          <w:b/>
        </w:rPr>
        <w:t>E. 2.2</w:t>
      </w:r>
    </w:p>
    <w:p>
      <w:r>
        <w:t>Le recourant ne conteste pas, en tant que telle, l'opportunité de prononcer en l'espèce des mesures de substitution à la détention provisoire. Il ne revient ainsi pas sur l'existence de charges suffisantes, ni sur le risque de récidive relevé par la cour cantonale, alors que certaines des infractions dont il est prévenu sont graves.</w:t>
      </w:r>
    </w:p>
    <w:p>
      <w:r>
        <w:t>A cet égard, on déduit de l'arrêt entrepris qu'en dépit des mises en garde qui lui avaient été formulées dès 2014, le recourant avait persisté à ne pas respecter les règles professionnelles les plus élémentaires, s'en prenant de manière réitérée tant aux intérêts pécuniaires d'autrui qu'à la foi accordée aux certificats médicaux. Il ressort du reste du rapport d'expertise psychiatrique établi le 18 décembre 2017 que les faits reprochés au recourant comportaient une dimension pathologique, de sorte qu'en l'absence de mesures d'encadrement et d'une thérapie, il était susceptible de reproduire à l'avenir le même type de comportement, dans une proportion non quantifiable (cf. arrêt entrepris, p. 8).</w:t>
      </w:r>
    </w:p>
    <w:p>
      <w:r>
        <w:rPr>
          <w:b/>
        </w:rPr>
        <w:t>E. 2.3</w:t>
      </w:r>
    </w:p>
    <w:p>
      <w:r>
        <w:t>Aux termes des mesures de substitution ordonnées par le Tmc le 30 avril 2019, il est désormais interdit au recourant de délivrer des certificats médicaux portant sur des incapacités de travail, alors qu'en vertu de la précédente ordonnance du 3 décembre 2018, cette interdiction concernait jusqu'alors uniquement les incapacités de travail d'une durée supérieure à cinq jours. La restriction opérée faisait suite à une demande de modification émanant du ministère public, lequel avait été informé, pièces à l'appui, par deux compagnies d'assurances, que le recourant délivrait, dans le cadre de son activité professionnelle débutée en janvier 2019, des certificats de travail pour des périodes supérieures à cinq jours.</w:t>
      </w:r>
    </w:p>
    <w:p>
      <w:r>
        <w:t>Contrairement à ce que soutient le recourant, il n'y a rien de critiquable à considérer qu'il s'agit là de faits nouveaux propres à établir que l'intéressé n'était pas capable de respecter les limites imposées par l'ordonnance du 3 décembre 2018, de sorte qu'en application de l' art. 237 al. 5 CPP , il se justifiait de prévoir des mesures de substitution plus restrictives.</w:t>
      </w:r>
    </w:p>
    <w:p>
      <w:r>
        <w:rPr>
          <w:b/>
        </w:rPr>
        <w:t>E. 2.4</w:t>
      </w:r>
    </w:p>
    <w:p>
      <w:r>
        <w:t>En tant que le recourant prétend que son droit d'être entendu a été violé dès lors que le Tmc ne se serait pas prononcé sur la demande d'interprétation formulée par le ministère public le 29 mars 2019, la modification des mesures de substitution opérée par ordonnance du 30 avril 2019 rendait toutefois sans objet l'interprétation des mesures en vigueur précédemment.</w:t>
      </w:r>
    </w:p>
    <w:p>
      <w:r>
        <w:t>Au surplus, le Tmc a par ailleurs estimé, dans l'ordonnance précitée, qu'il paraissait évident que l'interdiction de délivrer des certificats d'incapacité de travail pour une durée supérieure à cinq jours signifiait que le recourant était autorisé à établir et signer de tels documents n'excédant pas cinq jours calendaires. Le Tmc a ainsi relevé qu'</w:t>
      </w:r>
    </w:p>
    <w:p>
      <w:r>
        <w:t>a contrario , les incapacités de travail supérieures à cinq jours calendaires, respectivement les prolongations consécutives à une première incapacité de travail, ne pouvaient pas être établies ni signées par le recourant (cf. ordonnance du 30 avril 2019, p. 4). Il apparaît dès lors que, si le Tmc n'a certes pas constaté formellement l'absence d'objet de la demande d'interprétation, il s'est néanmoins prononcé à son sujet.</w:t>
      </w:r>
    </w:p>
    <w:p>
      <w:r>
        <w:rPr>
          <w:b/>
        </w:rPr>
        <w:t>E. 2.5</w:t>
      </w:r>
    </w:p>
    <w:p>
      <w:r>
        <w:t>Par ailleurs, dans la mesure où le recourant se plaint que la mesure en cause est disproportionnée en tant qu'elle fait obstacle au bon exercice de la profession, il ne démontre pas en quoi l'interdiction de délivrer des certificats d'incapacité de travail l'empêcherait pour autant de pratiquer la médecine conformément à ses obligations professionnelles et déontologiques. Il n'apparaît ainsi pas d'emblée inconcevable que, s'il devait s'avérer nécessaire d'attester l'incapacité de travail d'un patient, le recourant sollicite l'intervention de l'un de ses confrères du centre médical par lequel il est employé, en particulier celle du Dr C.________, à qui incomberait alors la responsabilité de délivrer, en son propre nom, les attestations utiles. Dans ce contexte, on ne voit pas que la mesure litigieuse le prive d'une prérogative indispensable à l'exercice de la profession de médecin.</w:t>
      </w:r>
    </w:p>
    <w:p>
      <w:r>
        <w:t>Quant à la proposition du recourant, selon laquelle le Dr C.________ se bornerait à devoir " valider " le certificat médical préalablement établi par ses soins, elle n'apparaît guère envisageable, dès lors qu'elle impliquerait que ce médecin atteste d'une incapacité de travail sans avoir examiné personnellement le patient.</w:t>
      </w:r>
    </w:p>
    <w:p>
      <w:r>
        <w:t>Cela étant, la cour cantonale pouvait considérer que l'interdiction contenue dans l'ordonnance du 30 avril 2019 constituait actuellement la seule mesure d'encadrement permettant de prévenir le risque de récidive mis en exergue par l'expertise psychiatrique. Cette mesure devait être privilégiée à celle, plus coercitive, d'interdire purement et simplement au recourant de pratiquer la médecine en Suisse (cf. arrêt entrepris, consid. 3.2.2 p. 19).</w:t>
      </w:r>
    </w:p>
    <w:p>
      <w:r>
        <w:t>Ainsi, en tant qu'elle demeure proportionnée au but poursuivi, la mesure de substitution litigieuse peut en l'état être confirmée.</w:t>
      </w:r>
    </w:p>
    <w:p>
      <w:r>
        <w:rPr>
          <w:b/>
        </w:rPr>
        <w:t>E. 3</w:t>
      </w:r>
    </w:p>
    <w:p>
      <w:r>
        <w:t>Le recours doit être rejeté. Le recourant, qui succombe, supporte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