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312/2017 vom 26. Juli 2017</w:t>
      </w:r>
    </w:p>
    <w:p>
      <w:r>
        <w:t>Bundesgericht, 2017-07-26, FR</w:t>
      </w:r>
    </w:p>
    <w:p>
      <w:r>
        <w:rPr>
          <w:b/>
        </w:rPr>
        <w:t xml:space="preserve">Quelle: </w:t>
      </w:r>
      <w:r>
        <w:t>https://mcp.opencaselaw.ch/entscheid/bger_1B_312_2017</w:t>
      </w:r>
    </w:p>
    <w:p>
      <w:r>
        <w:t>FR: TF 1B 312/2017 du 26 juillet 2017</w:t>
      </w:r>
    </w:p>
    <w:p>
      <w:r>
        <w:t>IT: TF 1B 312/2017 del 26 luglio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du 28 avril 2017, le Ministère public de l'arrondissement de l'Est vaudois a reconnu A.________ coupable d'infraction à la loi fédérale sur l'assurance-vieillesse et survivants du 20 décembre 1946 (LAVS; RS 831.10) et l'a condamné à une peine pécunaire de 60 jours-amende à 50 francs le jour-amende, avec sursis pendant 2 ans. Il a dit que la peine était complémentaire à celle prononcée le 22 mars 2010 par la Préfecture de la Riviera-Pays-d'Enhaut. A.________ a fait opposition à cette ordonnance pénale. Le 8 mai 2017, A.________ a déposé une demande de récusation à l'encontre du Procureur Hervé Nicod et du Ministère public du canton de Vaud in corpore . La Chambre des recours pénale du Tribunal cantonal du canton de Vaud a rejeté cette demande, par arrêt du 15 juin 2017. Par acte du 21 juillet 2017, A.________ a recouru auprès du Tribunal fédéral contre l'arrêt du 15 juin 2017. Il a demandé à être dispensé des frais judiciaires.</w:t>
      </w:r>
    </w:p>
    <w:p>
      <w:r>
        <w:rPr>
          <w:b/>
        </w:rPr>
        <w:t>E. 2</w:t>
      </w:r>
    </w:p>
    <w:p>
      <w:r>
        <w:t>Conformément aux art. 78 et 92 al. 1 LTF , une décision relative à la récusation d'un magistrat pénal peut faire immédiatement l'objet d'un recours en matière pénale. Le recourant, qui a vu sa demande de récusation rejetée, a qualité pour agir en vertu de l' art. 81 al. 1 LTF . Interjeté en temps utile contre une décision prise en dernière instance cantonale, le recours est recevable au regard des art. 80 al. 1 et 100 al. 1 LTF.</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L'acte de recours ne satisfait manifestement pas à ces exigences. La Chambre des recours pénale a considéré en substance que A.________, n'avait fait valoir aucun motif de récusation au sens de l' art. 56 CPP , le simple fait d'affirmer que l'argumentation du Procureur dans son ordonnance pénale serait contraire à la vérité ne constituant pas un motif de récusation. On cherche en vain dans le mémoire de recours une quelconque argumentation à l'encontre de la motivation ainsi retenue pour écarter la demande de récusation. Le recourant se contente d'affirmer que le Procureur a menti dans son ordonnance pénale. Il lui reproche en réalité d'avoir établi les faits de manière erronée (sa signature sur le pseudo contrat de travail; sa qualité d'employeur). Ces griefs ont trait cependant au contenu de l'ordonnance pénale du 28 avril 2017. Ils sont irrecevables, dans la mesure où ils ne se rapportent pas à l'objet de la présente contestation portant sur la récusation. Ils seront traités dans la procédure d'opposition à l'ordonnance. Au demeurant,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procureur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4</w:t>
      </w:r>
    </w:p>
    <w:p>
      <w:r>
        <w:t>Le recourant se prévaut sommairement d'une violation de l'égalité de traitement ( art. 8 Cst. ) et de la protection contre l'arbitraire ( art. 9 Cst. ). Il n'expose cependant pas en quoi consisteraient ces violations, de sorte que le grief, insuffisamment motivé, est irrecevable.</w:t>
      </w:r>
    </w:p>
    <w:p>
      <w:r>
        <w:rPr>
          <w:b/>
        </w:rPr>
        <w:t>E. 5</w:t>
      </w:r>
    </w:p>
    <w:p>
      <w:r>
        <w:t>Faute de satisfaire aux exigences de motivation déduites de l' art. 42 al. 2 LTF , le recours doit par conséquent être déclaré irrecevable selon la procédure simplifiée prévue par l' art. 108 al. 1 let. a et b LTF . Le recourant, qui succombe, supporte les frais judiciaires ( art. 66 al. 1 LTF ). Comme les conclusions du recours étaient d'emblée vouées à l'échec, la dispense des frais judiciaires ne peut pas être accordée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