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1B_312/2014 vom 26. November 2014</w:t>
      </w:r>
    </w:p>
    <w:p>
      <w:r>
        <w:t>Bundesgericht, 2014-11-26, DE</w:t>
      </w:r>
    </w:p>
    <w:p>
      <w:r>
        <w:rPr>
          <w:b/>
        </w:rPr>
        <w:t xml:space="preserve">Quelle: </w:t>
      </w:r>
      <w:r>
        <w:t>https://mcp.opencaselaw.ch/entscheid/bger_1B_312_2014</w:t>
      </w:r>
    </w:p>
    <w:p>
      <w:r>
        <w:t>FR: TF 1B_312/2014 du 26 novembre 2014</w:t>
      </w:r>
    </w:p>
    <w:p>
      <w:r>
        <w:t>IT: TF 1B_312/2014 del 26 novembre 2014</w:t>
      </w:r>
    </w:p>
    <w:p>
      <w:pPr>
        <w:pStyle w:val="Heading2"/>
      </w:pPr>
      <w:r>
        <w:t>Erwägungen</w:t>
      </w:r>
    </w:p>
    <w:p>
      <w:r>
        <w:rPr>
          <w:b/>
        </w:rPr>
        <w:t>E. 1</w:t>
      </w:r>
    </w:p>
    <w:p>
      <w:r>
        <w:t>Der angefochtene Beschluss ist kantonal letztinstanzlich. Dagegen steht grundsätzlich die Beschwerde in Strafsachen gemäss Art. 78 ff. BGG an das Bundesgericht offen.</w:t>
      </w:r>
    </w:p>
    <w:p>
      <w:r>
        <w:rPr>
          <w:b/>
        </w:rPr>
        <w:t>E. 2.1</w:t>
      </w:r>
    </w:p>
    <w:p>
      <w:r>
        <w:t>Die Beschwerde an das Bundesgericht ist zulässig gegen Entscheide, die das Verfahren abschliessen ( Art. 90 BGG ) sowie gegen selbständig eröffnete Vor- und Zwischenentscheide über die Zuständigkeit und über Ausstandsbegehren ( Art. 92 BGG ).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2.2</w:t>
      </w:r>
    </w:p>
    <w:p>
      <w:r>
        <w:t>Die vorliegende Beschwerde ist mithin zulässig, soweit sie sich gegen die Ablehnung des gegen den verfahrensleitenden Staatsanwalt erhobenen Ausstandsbegehrens richtet.</w:t>
      </w:r>
    </w:p>
    <w:p>
      <w:r>
        <w:rPr>
          <w:b/>
        </w:rPr>
        <w:t>E. 2.3</w:t>
      </w:r>
    </w:p>
    <w:p>
      <w:r>
        <w:t>Soweit sich der Beschwerdeführer gegen die Abweisung seiner Beschwerde gegen die Verweigerung der Entfernung bestimmter Dokumente aus den Akten des Strafverfahrens wendet, handelt es sich um einen Zwischenentscheid, der keinen nicht wieder gutzumachenden Nachteil bewirkt. Den angeblichen Verfahrensmangel und das behauptete Beweisverwertungsverbot kann der Beschwerdeführer auch im weiteren Verfahren vor Fällung des strafrechtlichen Endentscheids noch geltend machen. Eine allfällige entsprechende Gutheissung der Beschwerde durch das Bundesgericht würde überdies nicht sofort einen Endentscheid herbeiführen und auch keinen bedeutenden Verfahrensaufwand ersparen. Auf die Beschwerde ist insofern daher nicht einzutreten.</w:t>
      </w:r>
    </w:p>
    <w:p>
      <w:r>
        <w:rPr>
          <w:b/>
        </w:rPr>
        <w:t>E. 2.4</w:t>
      </w:r>
    </w:p>
    <w:p>
      <w:r>
        <w:t>Soweit sich die Beschwerde als zulässig erweist, ist der Beschwerdeführer als Beschuldigter und direkter Adressat des angefochtenen Entscheids beschwerdelegitimiert (vgl. Art. 81 Abs. 1 BGG ).</w:t>
      </w:r>
    </w:p>
    <w:p>
      <w:r>
        <w:rPr>
          <w:b/>
        </w:rPr>
        <w:t>E. 3</w:t>
      </w:r>
    </w:p>
    <w:p>
      <w:r>
        <w:t>Nach Art. 99 Abs. 1 BGG dürfen neue Tatsachen und Beweismittel nur so weit vorgebracht werden, als erst der Entscheid der Vorinstanz dazu Anlass gibt. Das vom Beschwerdeführer neu dem Bundesgericht eingereichte Schreiben ist erst nach Fällung des angefochtenen Entscheids entstanden und stellt somit ein echtes Novum dar. Da nicht erst der Entscheid der Vorinstanz Anlass zum eventuellen Beizug dieses Schriftstücks gibt, ist es aus dem Recht zu weisen.</w:t>
      </w:r>
    </w:p>
    <w:p>
      <w:r>
        <w:rPr>
          <w:b/>
        </w:rPr>
        <w:t>E. 4.1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bzw., soweit es nicht um richterliche Personen geht, von Art. 29 Abs. 1 BV . Nach Art. 30 Abs. 1 BV hat jede Person Anspruch darauf, dass ihre Sache von einem unparteiischen, unvoreingenommenen und unbefangenen Richter ohne Einwirken sachfremder Umstände entschieden wird. Dies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Urteil 1B_703/2011 vom 3. Februar 2012 E. 2.3 und 2.4). Analoges gilt für den Ausstand eines Staatsanwalts ( BGE 138 IV 142 ; Urteil des Bundesgerichts 1B_60/2014 vom 1. Mai 2014). Bei der Anwendung von Art. 56 lit. f StPO ist entscheidendes Kriterium, ob bei objektiver Betrachtungsweise der Ausgang des Verfahrens noch als offen erscheint ( MARKUS BOOG, in: Niggli/Heer/Wiprächtiger [Hrsg.], Basler Kommentar, Schweizerische Strafprozessordnung, 2011, N. 38 zu Art. 56 StPO ).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BOOG, a.a.O., N. 59 zu Art. 56 StPO ).</w:t>
      </w:r>
    </w:p>
    <w:p>
      <w:r>
        <w:rPr>
          <w:b/>
        </w:rPr>
        <w:t>E. 4.2</w:t>
      </w:r>
    </w:p>
    <w:p>
      <w:r>
        <w:t>Der Beschwerdeführer sieht darin einen Ausstandsgrund, dass der verfahrensleitende Staatsanwalt den Gutachtensauftrag an das IRM erweitert habe, ohne ihm dazu das rechtliche Gehör zu gewähren. Dieser klare Verfahrensfehler belege die Befangenheit des Staatsanwalts. Im Gutachtensauftrag hatte sich die Staatsanwaltschaft allerdings die Durchführung einer Begleitstoffanalyse bei Bedarf vorbehalten. Wieweit es als massgeblicher Verfahrensmangel einzustufen ist, dass dies in der Folge nachträglich geschah, ohne den Beschwerdeführer dazu vorweg anzuhören, kann offen bleiben. Immerhin kann er sich zum Ergebnis des Gutachtens im Strafverfahren äussern. Umstritten ist insofern auch die Tragweite von Art. 184 Abs. 3 StPO . Aber auch dies kann dahingestellt bleiben. Selbst wenn es sich um einen eigentlichen Verfahrensfehler handeln sollte, so ist dessen Tragweite im Strafverfahren hier nicht vorwegzunehmen. Entscheidend ist für die vorliegend zu beantwortende Frage des Ausstandes einzig, ob es sich um einen besonders krassen oder wiederholt aufgetretenen prozessualen Mangel handelt, der sich einseitig zulasten des Beschwerdeführers auswirkte. Der allfällige Verfahrensfehler wäre jedoch weder wiederholt noch besonders krass. Soweit er massgeblich wäre, liesse er sich überdies im Strafverfahren zu Gunsten des Beschwerdeführers berücksichtigen. Ein Anschein der Befangenheit des verfahrensleitenden Staatsanwaltes wird dadurch nicht begründet.</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