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312/2013 vom 25. September 2013</w:t>
      </w:r>
    </w:p>
    <w:p>
      <w:r>
        <w:t>Bundesgericht, 2013-09-25, DE</w:t>
      </w:r>
    </w:p>
    <w:p>
      <w:r>
        <w:rPr>
          <w:b/>
        </w:rPr>
        <w:t xml:space="preserve">Quelle: </w:t>
      </w:r>
      <w:r>
        <w:t>https://mcp.opencaselaw.ch/entscheid/bger_1B_312_2013</w:t>
      </w:r>
    </w:p>
    <w:p>
      <w:r>
        <w:t>FR: TF 1B 312/2013 du 25 septembre 2013</w:t>
      </w:r>
    </w:p>
    <w:p>
      <w:r>
        <w:t>IT: TF 1B 312/2013 del 25 settembre 2013</w:t>
      </w:r>
    </w:p>
    <w:p>
      <w:pPr>
        <w:pStyle w:val="Heading2"/>
      </w:pPr>
      <w:r>
        <w:t>Regeste</w:t>
      </w:r>
    </w:p>
    <w:p>
      <w:r>
        <w:t>Strafverfahren; Verfahrenssprache | Strafprozess</w:t>
      </w:r>
    </w:p>
    <w:p>
      <w:pPr>
        <w:pStyle w:val="Heading2"/>
      </w:pPr>
      <w:r>
        <w:t>Erwägungen</w:t>
      </w:r>
    </w:p>
    <w:p>
      <w:r>
        <w:rPr>
          <w:b/>
        </w:rPr>
        <w:t>E. 1</w:t>
      </w:r>
    </w:p>
    <w:p>
      <w:r>
        <w:t>Mit Verfügung vom 29. August 2012 eröffnete die Staatsanwaltschaft Graubünden in Anwendung von Art. 309 StPO eine Strafuntersuchung gegen X.________ wegen grober Verletzung der Verkehrsregeln gemäss Art. 90 Ziff. 2 SVG . Nach erfolgter Einvernahme des Beschuldigten am 8. März 2013 erliess die Staatsanwaltschaft am 22. April 2013 einen Strafbefehl in italienischer Sprache, nachdem sich die dem Beschuldigten zur Last gelegte Handlung im Bezirk Moesa ereignet haben soll, wo Italienisch die massgebende Verfahrenssprache ist. Hiergegen erhob X.________ am 3. Mai 2013 Einsprache mit dem Antrag, das Verfahren sei in deutscher Sprache durchzuführen. Mit Verfügung vom 7. Mai 2013 wies die Staatsanwaltschaft das Gesuch um einen Wechsel der Verfahrenssprache ab. Gegen diese Verfügung wandte sich der Beschuldigte mit einer Beschwerde ans Kantonsgericht Graubünden. Dessen II. Strafkammer hat die Beschwerde mit Verfügung vom 5. Juni 2013 abgewiesen.</w:t>
      </w:r>
    </w:p>
    <w:p>
      <w:r>
        <w:rPr>
          <w:b/>
        </w:rPr>
        <w:t>E. 2</w:t>
      </w:r>
    </w:p>
    <w:p>
      <w:r>
        <w:t>Mit Eingabe vom 11. September 2013 führt X.________ Beschwerde ans Bundesgericht mit dem Hauptbegehren, die kantonsgerichtliche Verfügung sei aufzuheben. Das Bundesgericht hat darauf verzichtet, Vernehmlassungen zur Beschwerde einzuholen.</w:t>
      </w:r>
    </w:p>
    <w:p>
      <w:r>
        <w:rPr>
          <w:b/>
        </w:rPr>
        <w:t>E. 3.1</w:t>
      </w:r>
    </w:p>
    <w:p>
      <w:r>
        <w:t>Bei der angefochtenen Verfügung vom 5. Juni 2013 es handelt sich klarerweise um einen Zwischenentscheid, der das in Frage stehende Strafverfahren nicht abschliesst.</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 BGE 134 III 426 E. 1.2; 133 III 629 E. 2.3.1). Der Beschwerdeführer äussert sich im Zusammenhang mit Art. 93 BGG in keiner Weise. Er legt nicht dar, inwiefern die angefochtene Verfügung für ihn einen Nachteil gemäss Art. 93 Abs. 1 lit. a BGG bewirken könnte.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 Dem Beschwerdeführer wird es unbenommen sein, auch noch im Zusammenhang mit dem noch ausstehenden sachrichterlichen Urteil die allfällige Verletzung von Verfahrens- bzw. Verteidigungsrechten zu rügen, falls dies sich dannzumal als erforderlich erweisen sollte. Auf die Beschwerde ist somit nicht einzutreten. Da diese in Bezug auf die Erfordernisse gemäss Art. 93 BGG offensichtlich mangelhaft ist, kann über sie im vereinfachten Verfahren nach Art. 108 Abs. 1 BGG entschieden werden.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