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1B_311/2019 vom 11. Juli 2019</w:t>
      </w:r>
    </w:p>
    <w:p>
      <w:r>
        <w:t>Bundesgericht, 2019-07-11, FR</w:t>
      </w:r>
    </w:p>
    <w:p>
      <w:r>
        <w:rPr>
          <w:b/>
        </w:rPr>
        <w:t xml:space="preserve">Quelle: </w:t>
      </w:r>
      <w:r>
        <w:t>https://mcp.opencaselaw.ch/entscheid/bger_1B_311_2019</w:t>
      </w:r>
    </w:p>
    <w:p>
      <w:r>
        <w:t>FR: TF 1B_311/2019 du 11 juillet 2019</w:t>
      </w:r>
    </w:p>
    <w:p>
      <w:r>
        <w:t>IT: TF 1B_311/2019 del 11 luglio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Alors même que le recourant se trouve en exécution anticipée de peine ( art. 236 CPP ), il peut en tout temps requérir sa libération ( art. 31 al. 4 Cst. , 5 § 4 CEDH ; ATF 143 IV 160 consid. 2.3 p. 163 s.; 139 IV 191 consid. 4.1 p. 194) et la qualité pour recourir doit par conséquent lui être reconnue (art. 81 al. 1 let. a et b ch. 1 LTF). Pour le surplus, le recours a été formé en temps utile ( art. 100 al. 1 LTF ) contre une décision rendue par une autorité statuant en tant qu'instance cantonale unique (art. 80 al. 2 in fine LTF et 233 CPP) et les conclusions présentées sont recevables au regard de l' art. 107 al. 2 LTF . Il y a donc lieu d'entrer en matière.</w:t>
      </w:r>
    </w:p>
    <w:p>
      <w:r>
        <w:rPr>
          <w:b/>
        </w:rPr>
        <w:t>E. 2</w:t>
      </w:r>
    </w:p>
    <w:p>
      <w:r>
        <w:t>Le recourant, condamné en première instance notamment pour infractions graves à la LStup, ne conteste pas, à juste titre, l'existence de charges suffisantes pesant à son encontre ( art. 221 CPP ; cf. ad article 3 de son mémoire p. 5 s.).</w:t>
      </w:r>
    </w:p>
    <w:p>
      <w:r>
        <w:t>Il reproche en revanche à l'autorité précédente d'avoir considéré qu'il existerait un risque de fuite, respectivement qu'aucune mesure de substitution ne permettrait de le pallier.</w:t>
      </w:r>
    </w:p>
    <w:p>
      <w:r>
        <w:rPr>
          <w:b/>
        </w:rPr>
        <w:t>E. 2.1</w:t>
      </w:r>
    </w:p>
    <w:p>
      <w:r>
        <w:t>A teneur de l' art. 221 al. 1 let. a CPP , la détention provisoire et la détention pour des motifs de sûreté ne peuvent être ordonnées que lorsque le prévenu est fortement soupçonné d'avoir commis un crime ou un délit et qu'il y a notamment sérieusement lieu de craindre qu'il se soustraie à la procédure pénale ou à la sanction prévisible en prenant la fuite.</w:t>
      </w:r>
    </w:p>
    <w:p>
      <w:r>
        <w:t>Selon la jurisprudence, le risque de fuite au sens de la disposition susmentionnée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166 s.).</w:t>
      </w:r>
    </w:p>
    <w:p>
      <w:r>
        <w:rPr>
          <w:b/>
        </w:rPr>
        <w:t>E. 2.2</w:t>
      </w:r>
    </w:p>
    <w:p>
      <w:r>
        <w:t>En l'occurrence, l'autorité précédente a tout d'abord rappelé les éléments retenus par le Tribunal fédéral pour confirmer l'existence d'un risque de fuite dans son arrêt du 4 mai 2017 (cause 1B_145/2017), à savoir les éventuelles importantes conséquences pour le recourant s'agissant de son droit de séjourner en Suisse en cas de condamnation (perte de son permis B, expulsion administrative), ses attaches ténues avec la Suisse dès lors qu'à l'exception de sa femme et de sa fille, sa famille résidait en France ou au Maroc et ses déclarations à son épouse en lien avec l'espérance d'une libération rapide et d'un départ à l'étranger en commun. Le Président a ensuite considéré que ces circonstances étaient toujours d'actualité, en se référant notamment aux propos tenus par le recourant lors des débats de première instance ("Je souhaite retourner vivre en France. C'est là que j'ai vécu toute ma vie" [cf. p. 5 du procès-verbal de l'audience du 21 janvier 2019]).</w:t>
      </w:r>
    </w:p>
    <w:p>
      <w:r>
        <w:t>Ce raisonnement ne prête pas le flanc à la critique et le recourant n'apporte aucun élément propre à le remettre en cause. Cela vaut d'autant plus qu'à cela s'ajoute, ainsi que relevé par l'autorité précédente, le prononcé de première instance, soit la condamnation du recourant à une peine privative de liberté de six ans. Ce jugement - certes non définitif et exécutoire - constitue un indice important de la peine susceptible de devoir être finalement exécutée ( ATF 143 IV 168 consid. 5.1 p. 173), respectivement permet d'avoir une nouvelle appréciation du risque de fuite existant dès lors que la perspective de devoir effectuer la peine ordonnée semble se concrétiser; tel est d'ailleurs également le cas de l'hypothèse d'un prononcé administratif. Le contrat de travail avancé en cas de libération et en l'absence de mesure d'expulsion ("Si je ne suis pas expulsé, j'ai un contrat de travail qui m'attend en Suisse" [cf. p. 5 du procès-verbal de l'audience du 21 janvier 2019]) ne paraît ainsi pas suffisant, à titre de seule autre nouvelle circonstance, pour établir des attaches suffisantes en Suisse, respectivement écarter tout désir de retourner en France, où réside en outre une partie de la famille du recourant. Dans la mesure où le juge de la détention n'a pas à prendre en considération l'éventuel octroi, par l'autorité de jugement, d'un sursis, d'un sursis partiel ou d'une libération conditionnelle ( ATF 143 IV 168 consid. 5.1 p. 173; arrêt 1B_116/2019 du 11 avril 2019 consid. 3.4, destiné à la publication), le fait que le recourant avance pouvoir obtenir cette dernière mesure - au demeurant, à le suivre, a priori uniquement dans une année (cf. p. 6 du recours) - ne lui est d'aucun secours. Il en va de même des possibilités de conduites dont se prévaut le recourant, puisque ses demandes de congé paraissent être encore au stade de l'examen par l'autorité concernée (cf. les courriers du 26 avril et du 15 mai 2019). On ne saurait donc retenir que l'exécution - future et hypothétique - d'une éventuelle décision octroyant un congé - fondée en outre sur d'autres conditions - constituerait un élément déterminant dans l'appréciation actuelle du danger de fuite. Enfin, vu sa mention dans son acte de recours (cf. p. 8 du recours), le recourant n'ignore pas que le Procureur a déposé un appel joint - certes ultérieurement à l'arrêt attaqué -, qui tend à l'aggravation de sa peine ( ATF 143 IV 160 consid. 4.1 p. 165).</w:t>
      </w:r>
    </w:p>
    <w:p>
      <w:r>
        <w:t>Partant, le Président de la juridiction précédente a retenu, sans violer le droit fédéral, l'existence d'un danger de fuite.</w:t>
      </w:r>
    </w:p>
    <w:p>
      <w:r>
        <w:rPr>
          <w:b/>
        </w:rPr>
        <w:t>E. 2.3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Si le recourant soutient ne pas pouvoir se rendre au Maroc sans papier d'identité, il reconnaît en revanche que tel n'est pas le cas s'agissant de la France (cf. p. 10 du recours; arrêts 1B_168/2019 du 30 avril 2019 consid. 2.4; 1B_496/2018 du 21 novembre 2018 consid. 4.2 et les arrêts cités), pays dans lequel il n'est pas dénué de tout contact puisqu'y vivent certains membres de sa famille. Il ne prétend pas non plus être dans impossibilité de demander, le cas échéant, de nouveaux papiers d'identité marocains, nationalité qu'il a conservée (cf. le procès-verbal d'audience du 21 janvier 2019 p. 5; arrêt 1B_398/2018 du 14 septembre 2018 consid. 3.5). Ces éléments ne permettent pas de considérer que le dépôt des papiers d'identité, ainsi que l'obligation de se présenter à un poste de police une fois par semaine - qui ne permet pas de prévenir un départ à l'étranger, mais uniquement de le constater a posteriori (arrêt 1B_177/2019 du 7 mai 2019 consid. 7.2 et les arrêts cités) - réduiraient d'une manière suffisante le risque de fuite existant.</w:t>
      </w:r>
    </w:p>
    <w:p>
      <w:r>
        <w:t>Invoquant une violation de son droit d'être entendu, le recourant reproche encore à l'autorité précédente de ne pas s'être prononcée sur les 6'000 fr. proposés à titre de sûretés dans ses déterminations spontanées du 17 mai 2019, reçues le 20 suivant par le greffe du tribunal cantonal. Cette écriture ne figure cependant pas dans les faits établis par l'autorité précédente et le recourant ne soulève aucune argumentation afin de contester cette omission; le Tribunal fédéral est donc lié par les faits constatés dans l'arrêt attaqué ( art. 105 al. 1 LTF ). Cela étant, ce grief serait-il recevable, qu'il y a lieu de relever que le Président a considéré que "d'éventuelles mesures de substitution, notamment le dépôt des papiers d'identité, n'apparaiss[ai]ent pas suffisantes" pour pallier le risque retenu. Au regard des termes utilisés, le Président a ainsi estimé qu'aucune mesure n'entrait en considération, soit y compris - certes implicitement - celle prévue à l' art. 237 al. 2 let. a CPP . Cette appréciation peut d'ailleurs en l'état être confirmée. En effet, vu le montant proposé et l'origine des fonds - soit sa famille dont son frère -, il n'est pas d'emblée évident que la perspective de perdre cette somme agira comme un frein suffisant pour écarter toute velléité de fuite maintenant qu'une importante peine a été prononcée à son encontre.</w:t>
      </w:r>
    </w:p>
    <w:p>
      <w:r>
        <w:t>Au regard de ces éléments, le Président de la Cour pénale n'a pas violé le droit fédéral en considérant qu'il n'existait aucune mesure de substitution propre à réduire le danger de fuite existant.</w:t>
      </w:r>
    </w:p>
    <w:p>
      <w:r>
        <w:rPr>
          <w:b/>
        </w:rPr>
        <w:t>E. 2.4</w:t>
      </w:r>
    </w:p>
    <w:p>
      <w:r>
        <w:t>Dans un dernier grief, le recourant se plaint d'une violation du principe de la proportionnalité eu égard à la durée de la détention subie et de la peine encourue.</w:t>
      </w:r>
    </w:p>
    <w:p>
      <w:r>
        <w:t>Le recourant part cependant de la prémisse erronée que cet examen devrait être effectué sur la base des conclusions prises en première instance et réitérées dans le cadre de la procédure d'appel. Comme déjà rappelé ci-dessus, le jugement de première instance constitue toutefois un indice important de la peine encourue (6 ans de peine privative de liberté), ce qui suffit pour retenir qu'à ce stade de la procédure, le principe de proportionnalité n'est pas violé par la durée de la détention subie.</w:t>
      </w:r>
    </w:p>
    <w:p>
      <w:r>
        <w:rPr>
          <w:b/>
        </w:rPr>
        <w:t>E. 3</w:t>
      </w:r>
    </w:p>
    <w:p>
      <w:r>
        <w:t>Vu les considérations précédentes, le Président de la Cour d'appel pouvait, à juste titre, rejeter la demande de libération déposée par le recourant.</w:t>
      </w:r>
    </w:p>
    <w:p>
      <w:r>
        <w:rPr>
          <w:b/>
        </w:rPr>
        <w:t>E. 4</w:t>
      </w:r>
    </w:p>
    <w:p>
      <w:r>
        <w:t>Il s'ensuit que le recours est rejeté dans la mesure où il est recevable.</w:t>
      </w:r>
    </w:p>
    <w:p>
      <w:r>
        <w:t>Le recourant a demandé l'octroi de l'assistance judiciaire ( art. 64 al. 1 LTF ). Son recours n'était pas d'emblée dénué de chances de succès et cette requête doit être admise. Il y a lieu de désigner Me Charles Poupon comme avocat d'office et de lui allouer une indemnité à titre d'honoraires, qui sera supportée par la caisse du Tribunal fédéral. Il n'est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