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1B_311/2017 vom 22. August 2017</w:t>
      </w:r>
    </w:p>
    <w:p>
      <w:r>
        <w:t>Bundesgericht, 2017-08-22, DE</w:t>
      </w:r>
    </w:p>
    <w:p>
      <w:r>
        <w:rPr>
          <w:b/>
        </w:rPr>
        <w:t xml:space="preserve">Quelle: </w:t>
      </w:r>
      <w:r>
        <w:t>https://mcp.opencaselaw.ch/entscheid/bger_1B_311_2017</w:t>
      </w:r>
    </w:p>
    <w:p>
      <w:r>
        <w:t>FR: TF 1B_311/2017 du 22 août 2017</w:t>
      </w:r>
    </w:p>
    <w:p>
      <w:r>
        <w:t>IT: TF 1B_311/2017 del 22 agosto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1B_311/2017</w:t>
      </w:r>
    </w:p>
    <w:p>
      <w:r>
        <w:t>Verfügung vom 22. August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Bischofszell.</w:t>
      </w:r>
    </w:p>
    <w:p>
      <w:r>
        <w:t>Gegenstand</w:t>
      </w:r>
    </w:p>
    <w:p>
      <w:r>
        <w:t>Strafverfahren; Anruferlaubnis,</w:t>
      </w:r>
    </w:p>
    <w:p>
      <w:r>
        <w:t>Beschwerde gegen den Entscheid vom 20. Juni 2017 des Obergerichts des Kantons Thurgau.</w:t>
      </w:r>
    </w:p>
    <w:p>
      <w:r>
        <w:t>In Erwägung,</w:t>
      </w:r>
    </w:p>
    <w:p>
      <w:r>
        <w:t>dass A.________ mit Eingabe vom 19. Juli 2017 Beschwerde in Strafsachen gegen den Entscheid des Obergerichts des Kantons Thurgau vom 20. Juni 2017 erhoben hat;</w:t>
      </w:r>
    </w:p>
    <w:p>
      <w:r>
        <w:t>dass A.________ mit Schreiben vom 17. August 2017 den "Antrag 1B_311/2017 LEI zurückgezogen" hat;</w:t>
      </w:r>
    </w:p>
    <w:p>
      <w:r>
        <w:t>dass dieses Schreiben nur als Rückzug der Beschwerde vom 19. Juli 2017 verstanden werden kann;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Staatsanwaltschaft Bischofszell, dem Obergericht des Kantons Thurgau und B.________, schriftlich mitgeteilt.</w:t>
      </w:r>
    </w:p>
    <w:p>
      <w:r>
        <w:t>Lausanne, 22. August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