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311/2008 vom 20. Januar 2009</w:t>
      </w:r>
    </w:p>
    <w:p>
      <w:r>
        <w:t>Bundesgericht, 2009-01-20, DE</w:t>
      </w:r>
    </w:p>
    <w:p>
      <w:r>
        <w:rPr>
          <w:b/>
        </w:rPr>
        <w:t xml:space="preserve">Quelle: </w:t>
      </w:r>
      <w:r>
        <w:t>https://mcp.opencaselaw.ch/entscheid/bger_1B_311_2008</w:t>
      </w:r>
    </w:p>
    <w:p>
      <w:r>
        <w:t>FR: TF 1B 311/2008 du 20 janvier 2009</w:t>
      </w:r>
    </w:p>
    <w:p>
      <w:r>
        <w:t>IT: TF 1B 311/2008 del 20 gennaio 2009</w:t>
      </w:r>
    </w:p>
    <w:p>
      <w:pPr>
        <w:pStyle w:val="Heading2"/>
      </w:pPr>
      <w:r>
        <w:t>Regeste</w:t>
      </w:r>
    </w:p>
    <w:p>
      <w:r>
        <w:t>Antrag um vorzeitigen Vollzug | Strafprozess</w:t>
      </w:r>
    </w:p>
    <w:p>
      <w:pPr>
        <w:pStyle w:val="Heading2"/>
      </w:pPr>
      <w:r>
        <w:t>Erwägungen</w:t>
      </w:r>
    </w:p>
    <w:p>
      <w:r>
        <w:rPr>
          <w:b/>
        </w:rPr>
        <w:t>E. 1</w:t>
      </w:r>
    </w:p>
    <w:p>
      <w:r>
        <w:t>Die Sachurteilsvoraussetzungen sind an sich erfüllt; auf die Beschwerde ist einzutreten. Das Rechtsmittel erweist sich jedoch als offensichtlich unbegründet und ist im vereinfachten Verfahren gemäss Art. 109 Abs. 2 lit. a und Abs. 3 BGG mit summarischer Begründung zu erledigen.</w:t>
      </w:r>
    </w:p>
    <w:p>
      <w:r>
        <w:rPr>
          <w:b/>
        </w:rPr>
        <w:t>E. 2</w:t>
      </w:r>
    </w:p>
    <w:p>
      <w:r>
        <w:t>Der Beschwerdeführer bestreitet, dass in seinem Fall Fortsetzungsgefahr bestehe. Weiter wirft er dem Kantonsgericht im Hinblick auf diesen Haftgrund vor, seinem Antrag auf Einholung eines neuen psychiatrischen Gutachtens nicht stattgegeben zu haben. Zugleich kritisiert er, dass das Kantonsgericht in diesem Zusammenhang auf ein bestehendes Kurzgutachten abgestellt habe. Diese Rügen hat der Beschwerdeführer bereits bei der Anfechtung der Haftverfügung vom 28. Oktober 2008 vorgebracht. In E. 2.1 des Urteils vom 17. Dezember 2008 hat das Bundesgericht diese Einwände verworfen; es erachtete es als verfassungskonform, beim Beschwerdeführer Fortsetzungsgefahr anzunehmen. Darauf kann verwiesen werden, zumal der Beschwerdeführer keine neuen Gesichtspunkte geltend macht.</w:t>
      </w:r>
    </w:p>
    <w:p>
      <w:r>
        <w:rPr>
          <w:b/>
        </w:rPr>
        <w:t>E. 3</w:t>
      </w:r>
    </w:p>
    <w:p>
      <w:r>
        <w:t>Es ist unbestritten, dass dem Kantonsgericht hier die Funktion der Verfahrensleitung im Sinne von § 89 Abs. 1 und 3 StPO /BL zukommt. Der Beschwerdeführer stellt auch die Kompetenzabgrenzung, welche im angefochtenen Entscheid gestützt auf diese Normen getroffen worden ist, nicht grundsätzlich in Frage. Verfassungsrechtlich ist es nicht zu beanstanden, dass das Kantonsgericht bei seinem Weiterleitungsentscheid auf das Vorliegen eines Haftgrunds hingewiesen hat. Damit brauchte es im Rahmen der angefochtenen Verfügung nicht mehr zu weiteren Vorgaben von § 89 Abs. 3 StPO /BL Stellung zu nehmen. Hinzu kommt, dass das Kantonsgericht die Eingabe vom 14. November 2008 auch unter dem Blickwinkel von § 89 Abs. 1 StPO /BL geprüft hat. Insgesamt sind die mit der Eingabe vom 14. November 2008 gestellten Begehren im angefochtenen Entscheid, unter Beachtung der Zuständigkeitsordnung, hinreichend behandelt worden. Die Gehörsansprüche des Beschwerdeführers gemäss Art. 29 Abs. 1 und 2 BV sind insofern gewahrt worden.</w:t>
      </w:r>
    </w:p>
    <w:p>
      <w:r>
        <w:rPr>
          <w:b/>
        </w:rPr>
        <w:t>E. 4</w:t>
      </w:r>
    </w:p>
    <w:p>
      <w:r>
        <w:t>Nach dem Gesagten ist die Beschwerde im Verfahren nach Art. 109 BGG abzuweisen. Angesichts der Aussichtslosigkeit der vorliegenden Beschwerde ist dem Gesuch um unentgeltliche Rechtspflege nicht zu entsprechen ( Art. 64 Abs. 1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