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1B_310/2012 vom 22. August 2012</w:t>
      </w:r>
    </w:p>
    <w:p>
      <w:r>
        <w:t>Bundesgericht, 2012-08-22, DE</w:t>
      </w:r>
    </w:p>
    <w:p>
      <w:r>
        <w:rPr>
          <w:b/>
        </w:rPr>
        <w:t xml:space="preserve">Quelle: </w:t>
      </w:r>
      <w:r>
        <w:t>https://mcp.opencaselaw.ch/entscheid/bger_1B_310_2012</w:t>
      </w:r>
    </w:p>
    <w:p>
      <w:r>
        <w:t>FR: TF 1B_310/2012 du 22 août 2012</w:t>
      </w:r>
    </w:p>
    <w:p>
      <w:r>
        <w:t>IT: TF 1B_310/2012 del 22 agosto 2012</w:t>
      </w:r>
    </w:p>
    <w:p>
      <w:pPr>
        <w:pStyle w:val="Heading2"/>
      </w:pPr>
      <w:r>
        <w:t>Erwägungen</w:t>
      </w:r>
    </w:p>
    <w:p>
      <w:r>
        <w:rPr>
          <w:b/>
        </w:rPr>
        <w:t>E. 1</w:t>
      </w:r>
    </w:p>
    <w:p>
      <w:r>
        <w:t>Die beiden Beschwerden stehen in engem sachlichem Zusammenhang und richten sich gegen zwei über weite Strecken identische Entscheide. Die Verfahren sind dementsprechend zu vereinigen.</w:t>
      </w:r>
    </w:p>
    <w:p>
      <w:r>
        <w:rPr>
          <w:b/>
        </w:rPr>
        <w:t>E. 2</w:t>
      </w:r>
    </w:p>
    <w:p>
      <w:r>
        <w:t>Mit den angefochtenen Urteilen weist das Obergericht die Einwände der Beschwerdeführer gegen die Hausdurchsuchungen zurück. Es handelt sich um Entscheide einer letzten kantonalen Instanz in Strafsachen, gegen die die Beschwerde in Strafsachen zulässig ist ( Art. 78 Abs. 1, Art. 80 Abs. 1 BGG ). Sie schliessen die Verfahren gegen die Beschwerdeführer nicht ab, sind mithin Zwischenentscheide. Als solche sind sie nach Art. 93 Abs. 1 BGG nur anfechtbar, wenn sie einen nicht wieder gutzumachenden Nachteil rechtlicher Natur ( BGE 133 IV 139 E. 4) bewirken könnten (lit. a), oder wenn die Gutheissung der Beschwerden sofort Endentscheide herbeiführen und damit einen bedeutenden Aufwand an Zeit oder Kosten für ein weitläufiges Beweisverfahren ersparen würde (lit. b). Die Beschwerdeführer berufen sich auf lit. a dieser Bestimmung und machen zu Recht nicht geltend, die Eintretensvoraussetzungen von lit. b seien erfüllt.</w:t>
      </w:r>
    </w:p>
    <w:p>
      <w:r>
        <w:t>Es liegt in der Natur der Sache, dass Zwangsmassnahmen - hier zwei Hausdurchsuchungsbefehle - stets nur im Nachhinein gerichtlich überprüft werden können, weil die Betroffenen erst mit dem Vollzug von ihrer Existenz Kenntnis erlangen und die Eingriffe zunächst zu erdulden haben. Demgegenüber steht den Betroffenen im weiteren Verfahren voller gerichtlicher Rechtsschutz zu. Belegen die Strafbehörden wie hier im Sinn einer provisorischen Zwangsmassnahme zur Beweissicherung Gegenstände und Unterlagen mit Beschlag, können sie deren Siegelung verlangen ( Art. 248 Abs. 1 StPO ). Findet sich die Strafbehörde damit nicht ab, kann sie beim Zwangsmassnahmengericht deren Entsiegelung verlangen ( Art. 248 Abs. 2 und 3 lit. a StPO ). In diesem Entsiegelungsverfahren können die Betroffenen auch die Rechtmässigkeit der Hausdurchsuchungsbefehle bestreiten, da es jedenfalls in der Regel unzulässig wäre, rechtswidrig erlangte Beweismittel ins Strafverfahren einzuführen (vgl. Art. 139 - 141 StPO ). Sind die Beschwerdeführer somit befugt, die Rechtmässigkeit der Hausdurchsuchungen in den (zurzeit sistierten) Entsiegelungsverfahren zu bestreiten, droht ihnen offensichtlich kein nicht wieder gutzumachender Nachteil rechtlicher Natur, wenn sich das Bundesgericht nicht bereits vor deren Durchführung mit dieser Frage befasst. Die Voraussetzungen von Art. 93 Abs. 1 lit. a BGG für ein Eintreten auf die Beschwerden sind nicht erfüllt.</w:t>
      </w:r>
    </w:p>
    <w:p>
      <w:r>
        <w:rPr>
          <w:b/>
        </w:rPr>
        <w:t>E. 3</w:t>
      </w:r>
    </w:p>
    <w:p>
      <w:r>
        <w:t>Auf die Beschwerden ist nicht einzutreten. 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