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30/2023 vom 30. Januar 2023</w:t>
      </w:r>
    </w:p>
    <w:p>
      <w:r>
        <w:t>Bundesgericht, 2023-01-30, DE</w:t>
      </w:r>
    </w:p>
    <w:p>
      <w:r>
        <w:rPr>
          <w:b/>
        </w:rPr>
        <w:t xml:space="preserve">Quelle: </w:t>
      </w:r>
      <w:r>
        <w:t>https://mcp.opencaselaw.ch/entscheid/bger_1B_30_2023</w:t>
      </w:r>
    </w:p>
    <w:p>
      <w:r>
        <w:t>FR: TF 1B 30/2023 du 30 janvier 2023</w:t>
      </w:r>
    </w:p>
    <w:p>
      <w:r>
        <w:t>IT: TF 1B 30/2023 del 30 gennaio 2023</w:t>
      </w:r>
    </w:p>
    <w:p>
      <w:pPr>
        <w:pStyle w:val="Heading2"/>
      </w:pPr>
      <w:r>
        <w:t>Regeste</w:t>
      </w:r>
    </w:p>
    <w:p>
      <w:r>
        <w:t>Strafprozess</w:t>
      </w:r>
    </w:p>
    <w:p>
      <w:pPr>
        <w:pStyle w:val="Heading2"/>
      </w:pPr>
      <w:r>
        <w:t>Erwägungen</w:t>
      </w:r>
    </w:p>
    <w:p>
      <w:r>
        <w:rPr>
          <w:b/>
        </w:rPr>
        <w:t>E. 1</w:t>
      </w:r>
    </w:p>
    <w:p>
      <w:r>
        <w:t>A.________ führt mit Eingabe vom 19. Januar 2023 Beschwerde "gegen die Kantonspolizei Zürich wegen Fortsetzung von Nachstellungen über Funk durch pflichtwidrige Untätigkeit oder aktiver Beteiligung und den Verzicht auf eine Weiterverfolgung meiner Strafanzeige von 7. Juni 2022".</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So ist die Beschwerde in Strafsachen zulässig gegen Entscheide letzter kantonaler Instanzen ( Art. 80 Abs. 1 BGG ). In einer Beschwerde muss der Beschwerdeführer gemäss Art. 42 Abs. 2 BGG den angefochtenen Entscheid bezeichnen und andererseits darlegen, inwiefern der angefochtene Entscheid Recht verletzt. Der Eingabe des Beschwerdeführers kann nicht entnommen werden, gegen welchen kantonal letztinstanzlichen Entscheid sich seine Beschwerde überhaupt richten sollte. Da ein nach dem Gesetz anfechtbarer Entscheid nicht dargetan wird und auch nicht ersichtlich ist, genügt die Beschwerde den Begründungsanforderungen von Art. 42 Abs. 2 BGG offensichtlich nicht. Auf die Beschwerde ist somit im vereinfachten Verfahren nach Art. 108 Abs. 1 BGG mangels einer genügenden Begründung im Sinne von Art. 42 Abs. 2 BGG bzw. mangels eines anfechtbaren Entscheids nicht einzutreten.</w:t>
      </w:r>
    </w:p>
    <w:p>
      <w:r>
        <w:rPr>
          <w:b/>
        </w:rPr>
        <w:t>E. 3</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