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30/2021 vom 29. Januar 2021</w:t>
      </w:r>
    </w:p>
    <w:p>
      <w:r>
        <w:t>Bundesgericht, 2021-01-29, DE</w:t>
      </w:r>
    </w:p>
    <w:p>
      <w:r>
        <w:rPr>
          <w:b/>
        </w:rPr>
        <w:t xml:space="preserve">Quelle: </w:t>
      </w:r>
      <w:r>
        <w:t>https://mcp.opencaselaw.ch/entscheid/bger_1B_30_2021</w:t>
      </w:r>
    </w:p>
    <w:p>
      <w:r>
        <w:t>FR: TF 1B 30/2021 du 29 janvier 2021</w:t>
      </w:r>
    </w:p>
    <w:p>
      <w:r>
        <w:t>IT: TF 1B 30/2021 del 29 gennaio 2021</w:t>
      </w:r>
    </w:p>
    <w:p>
      <w:pPr>
        <w:pStyle w:val="Heading2"/>
      </w:pPr>
      <w:r>
        <w:t>Regeste</w:t>
      </w:r>
    </w:p>
    <w:p>
      <w:r>
        <w:t>Strafverfahren; amtliche Verteidigung | Strafprozess</w:t>
      </w:r>
    </w:p>
    <w:p>
      <w:pPr>
        <w:pStyle w:val="Heading2"/>
      </w:pPr>
      <w:r>
        <w:t>Erwägungen</w:t>
      </w:r>
    </w:p>
    <w:p>
      <w:r>
        <w:rPr>
          <w:b/>
        </w:rPr>
        <w:t>E. 1</w:t>
      </w:r>
    </w:p>
    <w:p>
      <w:r>
        <w:t>Mit Strafbefehl vom 12. Mai 2020 verurteilte die Staatsanwaltschaft des Kantons Solothurn A.________ wegen Beschimpfung zu einer bedingten Geldstrafe von 15 Tagessätzen. Dieser erhob dagegen Einsprache. Die Staatsanwaltschaft hielt am Strafbefehl fest und überwies die Sache dem Gerichtspräsidium Bucheggberg-Wasseramt. Am 26. Oktober 2020 wies die ausserordentliche Amtsgerichtsstatthalterin von Bucheggberg-Wasseramt das Gesuch von A.________ um Beigabe eines amtlichen Verteidigers ab. Am 17. Dezember 2020 wies das Obergericht des Kantons Solothurn die Beschwerde von A.________ gegen diese Verfügung ab mit der Begründung, es handle sich um einen Bagatellfall, der keine tatsächlichen oder rechtlichen Schwierigkeiten biete, denen A.________ nicht gewachsen wäre. Mit Beschwerde vom 20. Januar 2021 beantragt A.________ sinngemäss, diesen Beschluss des Obergerichts aufzuheben und ihm einen amtlichen Verteidiger beizugeben.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Nach der offenkundig zutreffenden Beurteilung des Obergerichts geht es vorliegend um ein Bagatellstrafverfahren, steht doch nach der Einschätzung der Staatsanwaltschaft im Strafbefehl eine Verurteilung zu einer Geldstrafe von 15 Tagessätzen zur Debatte, in welchem die Beiordnung eines amtlichen Verteidigers grundsätzlich nicht geboten ist ( Art. 132 Abs. 2 und 3 StPO ). Es ist auch nicht ersichtlich, dass das Strafverfahren besondere rechtliche oder tatsächliche Schwierigkeiten bietet, welchen der prozesserfahrene Beschwerdeführer nicht gewachsen wäre. Er macht dies zwar geltend, bleibt für diese Behauptung aber eine nachvollziehbare Begründung schuldig; aus seinen Hinweisen auf (angeblich) problematische Punkte des Verfahrens ergibt sich im Gegenteil, dass er durchaus in der Lage ist, seine Interessen selbst in diesem Bagatellstrafverfahren wahrzunehmen. Auf die Beschwerde ist wegen Verletzung der Begründungspflicht nicht einzutreten, wobei auf die Erhebung von Gerichtskosten ausnahmsweise verzichtet werden kann.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