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1B_309/2010 vom 7. Oktober 2010</w:t>
      </w:r>
    </w:p>
    <w:p>
      <w:r>
        <w:t>Bundesgericht, 2010-10-07, DE</w:t>
      </w:r>
    </w:p>
    <w:p>
      <w:r>
        <w:rPr>
          <w:b/>
        </w:rPr>
        <w:t xml:space="preserve">Quelle: </w:t>
      </w:r>
      <w:r>
        <w:t>https://mcp.opencaselaw.ch/entscheid/bger_1B_309_2010</w:t>
      </w:r>
    </w:p>
    <w:p>
      <w:r>
        <w:t>FR: TF 1B_309/2010 du 7 octobre 2010</w:t>
      </w:r>
    </w:p>
    <w:p>
      <w:r>
        <w:t>IT: TF 1B_309/2010 del 7 ottobre 2010</w:t>
      </w:r>
    </w:p>
    <w:p>
      <w:pPr>
        <w:pStyle w:val="Heading2"/>
      </w:pPr>
      <w:r>
        <w:t>Erwägungen</w:t>
      </w:r>
    </w:p>
    <w:p>
      <w:r>
        <w:rPr>
          <w:b/>
        </w:rPr>
        <w:t>E. 1</w:t>
      </w:r>
    </w:p>
    <w:p>
      <w:r>
        <w:t>Gemäss Art. 78 Abs. 1 BGG ist gegen den angefochtenen Entscheid die Beschwerde in Strafsachen gegeben. Ein kantonales Rechtsmittel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Eingriffs die Auslegung und Anwendung des entsprechenden kantonalen Rechts frei ( BGE 132 I 21 E. 3.2.3 S. 24 mit Hinweisen).</w:t>
      </w:r>
    </w:p>
    <w:p>
      <w:r>
        <w:t>Untersuchungshaft darf nach der Strafprozessordnung vom 4. Mai 1919 des Kantons Zürich (StPO/ZH; LS 321) nur angeordnet bzw. verlängert werden, wenn der Angeklagte eines Verbrechens oder Vergehens dringend verdächtigt wird und ausserdem ein besonderer Haftgrund vorliegt ( § 58 Abs. 1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2.3</w:t>
      </w:r>
    </w:p>
    <w:p>
      <w:r>
        <w:t>Der Beschwerdeführer bestreitet den dringenden Tatverdacht nicht. Er wendet sich gegen die Annahme der Wiederholungs-, Ausführungs- und Kollusionsgefahr. Er macht geltend, die Geschädigte und der Zeuge seien von der Staatsanwaltschaft einvernommen worden. Angesichts des fortgeschrittenen Verfahrensstadiums seien hohe Anforderungen an den Nachweis der Kollusionsgefahr zu stellen.</w:t>
      </w:r>
    </w:p>
    <w:p>
      <w:r>
        <w:rPr>
          <w:b/>
        </w:rPr>
        <w:t>E. 2.4</w:t>
      </w:r>
    </w:p>
    <w:p>
      <w:r>
        <w:t>Die strafprozessuale Haft wegen Kollusionsgefahr soll verhindern, dass der Angeschuldigte die Freiheit dazu missbrauchen würde, die wahrheitsgetreue Abklärung des Sachverhalts zu vereiteln oder zu gefährden. Es müssen konkrete Indizien für die Annahme von Verdunkelungsgefahr sprechen ( BGE 132 I 21 E. 3.2 S. 23 mit Hinweisen). Solche können sich namentlich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mit Hinweisen). Nach Abschluss der Strafuntersuchung bedarf der Haftgrund der Kollusionsgefahr einer besonders sorgfältigen Prüfung. Er dient primär der Sicherung einer ungestörten Strafuntersuchung. Je weiter das Strafverfahren vorangeschritten ist und je präziser der Sachverhalt bereits abgeklärt werden konnte, desto höhere Anforderungen sind grundsätzlich an den Nachweis von Verdunkelungsgefahr zu stellen ( BGE 132 I 21 E. 3.2.2 S. 24 mit Hinweisen).</w:t>
      </w:r>
    </w:p>
    <w:p>
      <w:r>
        <w:rPr>
          <w:b/>
        </w:rPr>
        <w:t>E. 2.5</w:t>
      </w:r>
    </w:p>
    <w:p>
      <w:r>
        <w:t>Die dem Beschwerdeführer vorgeworfenen Delikte, richteten sich gegen seine Ehefrau. Der Beschwerdeführer gibt zu, sie am Hals gehalten zu haben. Er bestreitet, sie mehrmals gewürgt, mit dem Tode bedroht und ihr ein Messer an den Hals gehalten zu haben.</w:t>
      </w:r>
    </w:p>
    <w:p>
      <w:r>
        <w:t>Die Staatsanwaltschaft hat ein Gutachten in Auftrag gegeben, um namentlich die Frage der Schuldfähigkeit und der Rückfallgefahr abzuklären. Das Gutachten wird im Dezember 2010 vorliegen. Der Beschwerdeführer muss mit einer Anklage rechnen. Sollte die Anklage nach Inkrafttreten am 1. Januar 2011 der Schweizerischen Strafprozessordnung vom 5. Oktober 2007 (StPO/CH; AS 2010 1881 ff.) beim Bezirksgericht erfolgen, wäre Art. 343 Abs. 3 StPO /CH von Bedeutung. Danach erhebt das Gericht im Vorverfahren ordnungsgemäss erhobene Beweise nochmals, sofern die unmittelbare Kenntnis des Beweismittels für die Urteilsfällung notwendig erscheint. Der Tatverdacht stützt sich weitgehend auf die Aussagen der Ehefrau. Mit ihrer Einvernahme an der Hauptverhandlung ist zu rechnen, zumal der Beschwerdeführer ihrer Einvernahme bisher nur per Videoübertragung folgen konnte. Es besteht damit weiterhin ein erhebliches Interesse, Einflussnahmen auf die Ehefrau zu verhindern. Dies gilt um so mehr, als ihre Aussagen für den Ausgang des Verfahrens entscheidend sein werden.</w:t>
      </w:r>
    </w:p>
    <w:p>
      <w:r>
        <w:t>Im Gutachten des Instituts für Rechtsmedizin der Universität Zürich vom 9. Juli 2010 kommen die Experten zum Schluss, aufgrund der Untersuchungsbefunde der körperlichen Untersuchung der Ehefrau und der von ihr gemachten Angaben müsse davon ausgegangen werden, sie habe sich durch den Übergriff am Hals in konkreter, unmittelbarer Lebensgefahr befunden. Ausserdem sei anzumerken, dass stumpfe Gewalt gegen den Hals in seltenen, konkret jedoch nicht vorhersehbaren Fällen zu einem reflektorischen Herzstillstand führen könne. Zwar ist dieses Gutachten zu relativieren, da die Ehefrau ihre Angaben in Bezug auf einen durch das Würgen erfolgten Urinabgang zu-rückgenommen hat. Aufgrund der derzeitigen Aktenlage muss der Beschwerdeführer aber mit einer empfindlichen Strafe rechnen. Für eine Gefährdung des Lebens droht Art. 129 StGB Freiheitsstrafe bis zu fünf Jahren an. Für den Beschwerdeführer steht daher viel auf dem Spiel. Entsprechend hoch ist der Anreiz für Kollusionshandlungen, zumal - wie gesagt - die Aussagen der Ehefrau von entscheidender Bedeutung sein werden.</w:t>
      </w:r>
    </w:p>
    <w:p>
      <w:r>
        <w:t>Der Beschwerdeführer ist mit dem Opfer verheiratet. Er wirft ihr vor, sie habe ihn ausgenützt, um ihren Aufenthalt in der Schweiz zu sichern. Er wolle sich von ihr scheiden lassen. Diese Umstände erhöhen die Gefahr, dass er sie zu Gefälligkeitsaussagen veranlassen könnte.</w:t>
      </w:r>
    </w:p>
    <w:p>
      <w:r>
        <w:t>Zwischen dem Beschwerdeführer und seiner Ehefrau bestehen Konflikte, die immer wieder zu Streit führen. Dem Beschwerdeführer wird vorgeworfen, er habe gegenüber seiner Ehefrau vom Sommer 2009 bis Juni 2010 mehrmals physische Gewalt angewandt und ihr mit dem Tode gedroht. Dass der Beschwerdeführer seine Ehefrau bei (mindestens) einer Auseinandersetzung am Hals gepackt hat, ist unstreitig. Das zeigt seine Bereitschaft, bei einer Auseinandersetzungen mit ihr gegebenenfalls Gewalt anzuwenden. Dies lässt darauf schliessen, dass er bei einer Freilassung versucht sein könnte, Gewalt gegenüber seiner Ehefrau zumindest anzudrohen, um diese zu einer für ihn günstigen Aussage zu veranlassen.</w:t>
      </w:r>
    </w:p>
    <w:p>
      <w:r>
        <w:t>Unter gesamthafter Würdigung dieser Umstände ist es verfassungsrechtlich haltbar, wenn die Vorinstanz die Kollusionsgefahr bejaht hat.</w:t>
      </w:r>
    </w:p>
    <w:p>
      <w:r>
        <w:rPr>
          <w:b/>
        </w:rPr>
        <w:t>E. 2.6</w:t>
      </w:r>
    </w:p>
    <w:p>
      <w:r>
        <w:t>Bei dieser Sachlage kann offen bleiben, ob zusätzlich zur Kollusionsgefahr ein weiterer Haftgrund zu bejahen wäre.</w:t>
      </w:r>
    </w:p>
    <w:p>
      <w:r>
        <w:rPr>
          <w:b/>
        </w:rPr>
        <w:t>E. 3</w:t>
      </w:r>
    </w:p>
    <w:p>
      <w:r>
        <w:t>Die Beschwerde ist abzuweisen. Bei diesem Ausgang wird der Beschwerdeführer an sich kostenpflichtig ( Art. 66 Abs. 1 BGG ).</w:t>
      </w:r>
    </w:p>
    <w:p>
      <w:r>
        <w:t>Die Bedürftigkeit des Beschwerdeführers kann angenommen werden. Da die Untersuchungshaft einen schweren Eingriff in die persönliche Freiheit darstellt, konnte er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