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1B_309/2009 vom 3. Dezember 2009</w:t>
      </w:r>
    </w:p>
    <w:p>
      <w:r>
        <w:t>Bundesgericht, 2009-12-03, IT</w:t>
      </w:r>
    </w:p>
    <w:p>
      <w:r>
        <w:rPr>
          <w:b/>
        </w:rPr>
        <w:t xml:space="preserve">Quelle: </w:t>
      </w:r>
      <w:r>
        <w:t>https://mcp.opencaselaw.ch/entscheid/bger_1B_309_2009</w:t>
      </w:r>
    </w:p>
    <w:p>
      <w:r>
        <w:t>FR: TF 1B_309/2009 du 3 décembre 2009</w:t>
      </w:r>
    </w:p>
    <w:p>
      <w:r>
        <w:t>IT: TF 1B_309/2009 del 3 dicembre 2009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Ne segue che il ricorso dev'essere accolto, la sentenza impugnata annullata e la causa rinviata alla CRP per nuovo giudizio. Ciò non comporta comunque l'accoglimento della domanda di scarcerazione, ricordato altresì che il nuovo giudizio dovrà essere emanato in termini brevi.</w:t>
      </w:r>
    </w:p>
    <w:p>
      <w:r>
        <w:rPr>
          <w:b/>
        </w:rPr>
        <w:t>E. 4.2</w:t>
      </w:r>
    </w:p>
    <w:p>
      <w:r>
        <w:t>Non si prelevano spese giudiziarie ( art. 66 cpv. 1 e 4 LTF ). La Repubblica e Cantone del Ticino rifonderà alla ricorrente un'indennità per ripetibili della sede federale ( art. 68 cpv. 1 e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