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305/2013 vom 26. September 2013</w:t>
      </w:r>
    </w:p>
    <w:p>
      <w:r>
        <w:t>Bundesgericht, 2013-09-26, FR</w:t>
      </w:r>
    </w:p>
    <w:p>
      <w:r>
        <w:rPr>
          <w:b/>
        </w:rPr>
        <w:t xml:space="preserve">Quelle: </w:t>
      </w:r>
      <w:r>
        <w:t>https://mcp.opencaselaw.ch/entscheid/bger_1B_305_2013</w:t>
      </w:r>
    </w:p>
    <w:p>
      <w:r>
        <w:t>FR: TF 1B 305/2013 du 26 septembre 2013</w:t>
      </w:r>
    </w:p>
    <w:p>
      <w:r>
        <w:t>IT: TF 1B 305/2013 del 26 settembre 2013</w:t>
      </w:r>
    </w:p>
    <w:p>
      <w:pPr>
        <w:pStyle w:val="Heading2"/>
      </w:pPr>
      <w:r>
        <w:t>Regeste</w:t>
      </w:r>
    </w:p>
    <w:p>
      <w:r>
        <w:t>détention provisoire, refus de mise en liberté | Procédure pénale</w:t>
      </w:r>
    </w:p>
    <w:p>
      <w:pPr>
        <w:pStyle w:val="Heading2"/>
      </w:pPr>
      <w:r>
        <w:t>Erwägungen</w:t>
      </w:r>
    </w:p>
    <w:p>
      <w:r>
        <w:rPr>
          <w:b/>
        </w:rPr>
        <w:t>E. 1</w:t>
      </w:r>
    </w:p>
    <w:p>
      <w:r>
        <w:t>Le recours en matière pénale ( art. 78 al. 1 LTF ) est en principe ouvert contre une décision relative à la détention provisoire ou pour motifs de sûreté au sens des art. 212 ss CPP ( ATF 137 IV 22 consid. 1 p. 23). Selon l'art. 81 al. 1 let. a et b ch. 1 LTF, le prévenu a qualité pour agir. Le recours est formé en temps utile contre une décision rendue en dernière instance cantonale ( art. 80 LTF ) et les conclusions présentées sont recevables au regard de l' art. 107 al. 2 LTF .</w:t>
      </w:r>
    </w:p>
    <w:p>
      <w:r>
        <w:rPr>
          <w:b/>
        </w:rPr>
        <w:t>E. 2</w:t>
      </w:r>
    </w:p>
    <w:p>
      <w:r>
        <w:t>Une mesure de détention préventive n'est compatible avec la liberté personnelle ( art. 10 al. 2 Cst. et 5 CEDH) que si elle repose sur une base légale ( art. 31 al. 1 et art. 36 al. 1 Cst. ),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(art. 221 al. 1 let. a, b et c CPP). Préalablement à l'examen de ces hypothèses, il doit exister à l'égard de l'intéressé des charges suffisantes, soit de sérieux soupçons de culpabilité ( art. 221 al. 1 CPP ; art. 5 par. 1 let . c CEDH; arrêt 1B_63/2007 du 11 mai 2007 consid. 3 non publié in ATF 133 I 168 ), condition dont la réalisation n'est pas en l'espèce contestée par le recourant qui a reconnu avoir participé à quatre incendies à Moutier.</w:t>
      </w:r>
    </w:p>
    <w:p>
      <w:r>
        <w:rPr>
          <w:b/>
        </w:rPr>
        <w:t>E. 3</w:t>
      </w:r>
    </w:p>
    <w:p>
      <w:r>
        <w:t>Le recourant conteste l'existence d'un risque de réitération au sens de l' art. 221 al. 1 let . c CPP. Il soutient en substance que les quatre incendies reprochés ne seraient que des actes isolés perpétrés durant une même et seule nuit et n'auraient pas mis en danger la sécurité publique. Il assure d'ailleurs n'avoir commis aucune nouvelle infraction depuis près d'un an, les contraventions à la loi fédérale du 20 juin 1997 sur les armes, les accessoires d'armes et les munitions (LArm, loi sur les armes; RS 514.54) ne pouvant être prises en compte pour établir un pronostic défavorable. Reconnaissant que sa consommation d'alcool était problématique, il affirme cependant que cela ne permettrait pas de retenir qu'il risquerait de récidiver ou qu'il représenterait un danger pour la société.</w:t>
      </w:r>
    </w:p>
    <w:p>
      <w:r>
        <w:rPr>
          <w:b/>
        </w:rPr>
        <w:t>E. 3.1</w:t>
      </w:r>
    </w:p>
    <w:p>
      <w:r>
        <w:t>Aux termes de l' art. 221 al. 1 let . c CPP, la détention provisoire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137 IV 13 consid. 4.5 p. 21; 135 I 71 consid. 2.3 p. 73; 133 I 270 consid. 2.2 p. 276 et les arrêts cités; arrêt 1B_103/2013 du 27 mars 2013 consid. 5.1).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à 4 p. 18 ss; arrêt 1B_133/2011 du 12 avril 2011 consid. 4.7). Le risque de réitération peut également se fonder sur les infractions faisant l'objet de la procédure pénale en cours, si le prévenu est fortement soupçonné - avec une probabilité confinant à la certitude - de les avoir commises ( ATF 137 IV 84 consid. 3.2 p. 86 et les références citées). S'agissant en particulier de la cause 1B_41/2013 du 27 février 2013, citée par la cour cantonale, il y est tout d'abord rappelé que, dans une procédure fédérale antérieure concernant le même dossier (arrêt 1B_705/2012 du 10 décembre 2012), il avait été ordonné de procéder à une expertise psychiatrique portant notamment sur la question du risque de récidive, sans que le prévenu - alors en détention provisoire - ne soit remis à ce moment-là en liberté. Le mandat d'expertise n'avait toutefois été donné par le Ministère public qu'à la même date - le 1er février 2013 - que le dépôt d'un nouveau recours au Tribunal fédéral contre la décision de prolongation de la détention. En raison donc de la violation du principe de célérité, le Tribunal fédéral a ordonné la remise en liberté immédiate si un bref rapport d'expertise sur le danger de réitération n'était pas rendu avant le 1er mars 2013.</w:t>
      </w:r>
    </w:p>
    <w:p>
      <w:r>
        <w:rPr>
          <w:b/>
        </w:rPr>
        <w:t>E. 3.2</w:t>
      </w:r>
    </w:p>
    <w:p>
      <w:r>
        <w:t>En l'occurrence, il y a lieu de constater que l'expertise psychiatrique du recourant est en cours. Certes, la durée de la possible détention durant la mise en oeuvre de cette mesure est plus longue que celle indiquée dans l'arrêt 1B_41/2013. Toutefois, cela ne résulte pas d'une inaction des autorités, puisque le Ministère public a effectué les premières démarches d'organisation le 26 juillet 2013, puis a mandaté l'expert le 29 juillet 2013. Il l'a ensuite relancé le 27 août 2013 à la suite du courrier du recourant et une première séance a eu lieu le 12 septembre 2013. Enfin, l'expert lui-même a assuré qu'il serait en mesure de rendre son rapport le 11 octobre 2013, soit avant l'échéance de la durée indiquée dans le jugement du Tmc (15 octobre 2013). En outre, une durée de détention de trois mois reste à ce stade de la procédure proportionnée dès lors que l' art. 221 al. 1 CP - incendie intentionnel - prévoit une peine privative de liberté d'un an au moins. Au regard de ces circonstances, les juges cantonaux n'ont pas violé le droit fédéral en confirmant la détention provisoire du recourant. Cela vaut d'autant plus que les actes reprochés au recourant sont graves. En effet, le fait de s'en prendre à des bâtiments inhabités ne permet pas de retenir que le comportement adopté n'aurait "jamais sérieusement compromis la sécurité d'autrui". Cette constatation ressort tout d'abord de la localisation desdits incendies, soit en ville même de Moutier. Quant au second immeuble, l'importance des dommages permet également de réaliser l'ampleur qu'avait prise et qu'aurait encore pu prendre le feu sans l'intervention des pompiers. Certes, d'autres actes du même type ne sont à ce stade de la procédure pas reprochés au recourant. Toutefois et alors même qu'il avait déjà été entendu par la police le 6 décembre 2012 pour une problématique similaire aux comportements qu'il avait adoptés le 23 septembre 2012, puis reconnus, il a fait usage en mai 2013 à deux reprises d'une arme à feu, notamment en tirant sur des pigeons dans la ville de Moutier. Ainsi et contrairement à ce que voudrait croire le recourant, ces comportements - incendies et tirs par ailleurs réalisés à chaque fois alors qu'il était fortement alcoolisé et/ou après avoir fumé des joints - sont propres à mettre la sécurité publique en danger.</w:t>
      </w:r>
    </w:p>
    <w:p>
      <w:r>
        <w:rPr>
          <w:b/>
        </w:rPr>
        <w:t>E. 3.3</w:t>
      </w:r>
    </w:p>
    <w:p>
      <w:r>
        <w:t>Conformément au principe de proportionnalité ( art. 36 al. 3 Cst. ), il convient encore d'examiner les possibilités de mettre en oeuvre d'autres solutions moins dommageables que la détention. Cette exigence est concrétisée par l' art. 237 al. 1 CPP , qui prévoit que le tribunal compétent ordonne une ou plusieurs mesures moins sévères en lieu et place de la détention si celles-ci permettent d'atteindre le même but. En l'espèce, le recourant ne prend aucune conclusion formelle sur de possibles mesures de substitution. Il affirme, dans son argumentation relative à l'absence de risque de récidive, que si c'était la consommation d'alcool qui était problématique, l'autorité aurait dû prononcer des mesures de substitution, en lui imposant par exemple une abstinence totale avec des contrôles réguliers. Au vu des infractions graves qui lui sont reprochée, réalisées alors qu'il était sous l'influence de l'alcool et/ou de joints, de telles mesures paraissent à ce stade et en l'absence de l'avis de l'expert, insuffisantes et probablement inadaptées pour pallier tout risque de réitération de comportement dangereux, que ce soit d'ailleurs tant pour le recourant que pour autrui.</w:t>
      </w:r>
    </w:p>
    <w:p>
      <w:r>
        <w:rPr>
          <w:b/>
        </w:rPr>
        <w:t>E. 3.4</w:t>
      </w:r>
    </w:p>
    <w:p>
      <w:r>
        <w:t>Partant, la Cour suprême bernoise n'a pas violé le droit fédéral en confirmant la mise en détention provisoire du recourant prononcée par le Tmc jusqu'au 15 octobre 2013.</w:t>
      </w:r>
    </w:p>
    <w:p>
      <w:r>
        <w:rPr>
          <w:b/>
        </w:rPr>
        <w:t>E. 4</w:t>
      </w:r>
    </w:p>
    <w:p>
      <w:r>
        <w:t>Il s'ensuit que le recours est rejeté. Le recourant a demandé l'assistance judiciaire et les conditions en paraissent réunies ( art. 64 al. 1 LTF ). Il y a lieu de désigner Me Gwenaël Ponsart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