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304/2007 vom 21. Januar 2008</w:t>
      </w:r>
    </w:p>
    <w:p>
      <w:r>
        <w:t>Bundesgericht, 2008-01-21, FR</w:t>
      </w:r>
    </w:p>
    <w:p>
      <w:r>
        <w:rPr>
          <w:b/>
        </w:rPr>
        <w:t xml:space="preserve">Quelle: </w:t>
      </w:r>
      <w:r>
        <w:t>https://mcp.opencaselaw.ch/entscheid/bger_1B_304_2007</w:t>
      </w:r>
    </w:p>
    <w:p>
      <w:r>
        <w:t>FR: TF 1B 304/2007 du 21 janvier 2008</w:t>
      </w:r>
    </w:p>
    <w:p>
      <w:r>
        <w:t>IT: TF 1B 304/2007 del 21 gennaio 2008</w:t>
      </w:r>
    </w:p>
    <w:p>
      <w:pPr>
        <w:pStyle w:val="Heading2"/>
      </w:pPr>
      <w:r>
        <w:t>Regeste</w:t>
      </w:r>
    </w:p>
    <w:p>
      <w:r>
        <w:t>refus de mise en liberté | Procédure pénale</w:t>
      </w:r>
    </w:p>
    <w:p>
      <w:pPr>
        <w:pStyle w:val="Heading2"/>
      </w:pPr>
      <w:r>
        <w:t>Erwägungen</w:t>
      </w:r>
    </w:p>
    <w:p>
      <w:r>
        <w:rPr>
          <w:b/>
        </w:rPr>
        <w:t>E. 1</w:t>
      </w:r>
    </w:p>
    <w:p>
      <w:r>
        <w:t>Selon l' art. 78 al. 1 LTF , le Tribunal fédéral connaît des recours contre les décisions rendues en matière pénale. La notion de décision rendue en matière pénale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arrêt 1B_84/2007 du 11 septembre 2007, consid. 2 destiné à la publication). La voie du recours en matière pénale est dès lors ouverte en l'espèce.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La détention actuellement subie par le recourant a été ordonnée au terme du jugement de condamnation, sur la base de l'art. 370 al. 2 du Code de procédure pénale vaudois du 12 septembre 1967 (CPP/VD). Cette disposition permet au tribunal de prendre toute décision dictée par les circonstances de la cause, notamment celle de faire arrêter le condamné. Il s'agit donc d'une détention de sûreté ("Sicherheitshaft"), ordonnée après le prononcé d'une peine mais avant la décision de l'autorité cantonale d'opposition ou de recours. Dès lors que cette mesure restreint la liberté personelle, elle répond aux mêmes exigences que la détention préventive (cf. arrêts 1P.814/2006 du 12 décembre 2006 consid. 4; 1P.105/2005 du 10 mars 2005 consid. 1.1).</w:t>
      </w:r>
    </w:p>
    <w:p>
      <w:r>
        <w:rPr>
          <w:b/>
        </w:rPr>
        <w:t>E. 2.1</w:t>
      </w:r>
    </w:p>
    <w:p>
      <w:r>
        <w:t>Une mesure de détention préventive n'est compatible avec la liberté personnelle, garantie par les art. 10 al. 2 Cst. et 5 CEDH, que si elle repose sur une base légale (art. 31 al. 1 et 36 al. 1 Cst.), soit en l'espèce les art. 59 et 370 al. 2 CPP /VD. Elle doit en outre correspondre à un intérêt public et respecter le principe de la proportionnalité ( art. 36 al. 2 et 3 Cst. ; ATF 123 I 268 consid. 2c p. 270). Pour que tel soit le cas, la privation de liberté doit être justifiée par un danger pour la sécurité ou l'ordre public, par un risque de fuite ou par les besoins de l'instruction (cf. art. 59 ch. 1 à 3 CPP/VD).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59 in initio CPP/VD). S'agissant d'une restriction grave à la liberté personnelle, le Tribunal fédéral examine librement ces questions, sous réserve toutefois de l'appréciation des preuves, revue sous l'angle restreint de l'arbitraire ( ATF 123 I 268 consid. 2d p. 271). L'autorité cantonale dispose ainsi d'une grande liberté dans l'appréciation des faits ( ATF 114 Ia 283 consid. 3, 112 Ia 162 consid. 3b).</w:t>
      </w:r>
    </w:p>
    <w:p>
      <w:r>
        <w:rPr>
          <w:b/>
        </w:rPr>
        <w:t>E. 2.2</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132 I 13 consid. 5.1 p. 17; 131 I 217 consid. 2.1 p. 219; 129 I 173 consid. 3.1 p. 178).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3</w:t>
      </w:r>
    </w:p>
    <w:p>
      <w:r>
        <w:t>Le recourant ne remet pas en cause l'existence de charges suffisantes, mais il conteste l'existence d'un risque de fuite.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Le fait que l'extradition du prévenu puisse être obtenue n'est pas déterminant ( ATF 123 I 31 consid. 3d p. 36 s.).</w:t>
      </w:r>
    </w:p>
    <w:p>
      <w:r>
        <w:rPr>
          <w:b/>
        </w:rPr>
        <w:t>E. 3.2</w:t>
      </w:r>
    </w:p>
    <w:p>
      <w:r>
        <w:t>En l'occurrence, le Tribunal cantonal a retenu que l'attitude du recourant et les propos qu'il a tenus lors des débats démontrent qu'il n'envisage pas de se soumettre à une condamnation. De plus, le fait que le jugement de première instance ait été rendu renforce la probabilité de le voir purger une peine privative de liberté, nonobstant le recours déposé contre cette condamnation. Compte tenu de la lourde peine à laquelle il a été condamné, l'autorité intimée a en outre considéré que les attaches du recourant en Suisse n'apparaissaient pas suffisantes pour le dissuader de prendre la fuite. De plus, l'intéressé avait conservé de nombreux liens avec son pays d'origine, où vivent cinq de ses frères et soeurs, où il possède une maison en construction et où il est copropriétaire de la maison familiale.</w:t>
      </w:r>
    </w:p>
    <w:p>
      <w:r>
        <w:rPr>
          <w:b/>
        </w:rPr>
        <w:t>E. 3.2.1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 c'est-à-dire arbitraire (cf. Message précité, FF 2001 p. 4135; pour une définition de l'arbitraire cf. supra consid. 2.2), ce qu'il lui appartient de démontrer par une argumentation répondant aux exigences de l' art. 42 al. 2 LTF , respectivement de l' art. 106 al. 2 LTF (arrêt 1C_64/2007 du 2 juillet 2007 consid. 5.1). En l'espèce, le recourant ne se plaint pas explicitement d'une appréciation arbitraire des faits. Il se limite à contester certains points, à alléguer des faits différents de ceux qui ont été retenus par l'autorité intimée et à donner sa propre appréciation. Il lui appartenait pourtant de démontrer, conformément aux exigences d'allégation et de motivation susmentionnées, en quoi le Tribunal cantonal aurait constaté ou apprécié les faits de manière arbitraire. Quoi qu'il en soit, les éléments constatés et leur appréciation n'apparaissent pas d'emblée comme étant manifestement insoutenables, de sorte qu'il y a lieu de statuer sur la base des faits établis par l'autorité précédente.</w:t>
      </w:r>
    </w:p>
    <w:p>
      <w:r>
        <w:rPr>
          <w:b/>
        </w:rPr>
        <w:t>E. 3.2.2</w:t>
      </w:r>
    </w:p>
    <w:p>
      <w:r>
        <w:t>S'agissant de l'appréciation du risque de fuite, le Tribunal cantonal ne saurait être suivi lorsqu'il reproche à l'intéressé son attitude aux débats devant le Tribunal correctionnel. En effet, le fait de clamer son innocence avec une certaine véhémence peut s'inscrire dans la logique du procès pénal et ne saurait dénoter à lui seul une réelle volonté de se soustraire à l'exécution de la peine encourue. Cela étant, sur le vu des autres éléments de fait, le Tribunal cantonal a considéré à juste titre que le risque de voir le recourant prendre la fuite était suffisamment concret et vraisemblable. Il est vrai que le recourant vit en Suisse depuis de nombreuses années, qu'il a obtenu la nationalité suisse en 2003 et que ses trois enfants vivent dans notre pays. Il convient toutefois de relever que deux de ses enfants ne vivent pas avec lui, mais avec son ex-épouse. De plus, comme l'a relevé l'autorité intimée, les contacts du recourant avec ses enfants seraient de toute manière limités par la longue période de détention qu'il encourt. De manière générale, il y a lieu de craindre que la perspective d'une peine privative de liberté de longue durée n'amène le recourant à faire certains sacrifices pour y échapper. Même si elle n'est pas définitive, sa condamnation à sept ans de réclusion en première instance a rendu plus concrète pour lui la probabilité de devoir purger une longue peine privative de liberté. A cet égard, c'est en vain que le recourant se prévaut du fait qu'il n'a pas tenté de fuir et qu'il s'est présenté à la lecture du jugement de première instance. En effet, s'il espérait un acquittement avant ce prononcé, il sait désormais que cela sera plus difficile à obtenir après que l'autorité de jugement a procédé à l'appréciation des preuves conduisant à l'établissement des faits. Enfin, les liens du recourant avec le Kosovo sont bien réels, de sorte qu'il ne paraît pas déraisonnable pour lui d'envisager de vivre dans son pays d'origine, où demeurent encore cinq de ses frères et soeurs, où il possède une maison en construction et où il peut toujours séjourner dans la maison familiale dont il est copropriétaire. Ainsi, compte tenu de l'ensemble de ces éléments, les liens qui unissent le recourant à la Suisse ne paraissent pas suffisants pour le retenir de quitter notre pays afin d'échapper à la justice, si bien que ce premier grief doit être rejeté.</w:t>
      </w:r>
    </w:p>
    <w:p>
      <w:r>
        <w:rPr>
          <w:b/>
        </w:rPr>
        <w:t>E. 4</w:t>
      </w:r>
    </w:p>
    <w:p>
      <w:r>
        <w:t>Le recourant reproche également à l'autorité intimée de n'avoir pas remplacé la détention par d'autres mesures propres selon lui à parer au danger de fuite, à savoir le dépôt de son passeport et le versement de sûretés. Il se plaint donc implicitement d'une violation du principe de proportionnalité. Faute d'avoir formulé un grief clair à cet égard, ses critiques sont toutefois irrecevables. Il convient au demeurant de relever qu'au vu de l'importance de la peine privative de liberté prononcée en première instance, le dépôt du passeport n'est clairement pas suffisant. De plus, on voit mal comment l'intéressé pourrait fournir des sûretés suffisantes, puisqu'il allègue lui-même qu'il n'a aucune ressource financière.</w:t>
      </w:r>
    </w:p>
    <w:p>
      <w:r>
        <w:rPr>
          <w:b/>
        </w:rPr>
        <w:t>E. 5</w:t>
      </w:r>
    </w:p>
    <w:p>
      <w:r>
        <w:t>Il s'ensuit que le recours doit être rejeté, dans la mesure de sa recevabilité. Dès lors que le recourant est dans le besoin et que ses conclusions ne paraissaient pas d'emblée vouées à l'échec, l'assistance judiciaire doit lui être accordée ( art. 64 al. 1 LTF ). Le recourant requiert la désignation de Me Sébastien Pedroli en qualité d'avocat d'office. Il y a lieu de donner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