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1B_303/2019 vom 21. Juni 2019</w:t>
      </w:r>
    </w:p>
    <w:p>
      <w:r>
        <w:t>Bundesgericht, 2019-06-21, DE</w:t>
      </w:r>
    </w:p>
    <w:p>
      <w:r>
        <w:rPr>
          <w:b/>
        </w:rPr>
        <w:t xml:space="preserve">Quelle: </w:t>
      </w:r>
      <w:r>
        <w:t>https://mcp.opencaselaw.ch/entscheid/bger_1B_303_2019</w:t>
      </w:r>
    </w:p>
    <w:p>
      <w:r>
        <w:t>FR: TF 1B_303/2019 du 21 juin 2019</w:t>
      </w:r>
    </w:p>
    <w:p>
      <w:r>
        <w:t>IT: TF 1B_303/2019 del 21 giugno 2019</w:t>
      </w:r>
    </w:p>
    <w:p>
      <w:pPr>
        <w:pStyle w:val="Heading2"/>
      </w:pPr>
      <w:r>
        <w:t>Erwägungen</w:t>
      </w:r>
    </w:p>
    <w:p>
      <w:r>
        <w:rPr>
          <w:b/>
        </w:rPr>
        <w:t>E. 1</w:t>
      </w:r>
    </w:p>
    <w:p>
      <w:r>
        <w:t>Die Regionale Staatsanwaltschaft Oberland führt gegen B.________ und C.________ ein Strafverfahren wegen Betrugs. Mit Verfügung vom 29. April 2019 stellte sie den Parteien in Aussicht, dass sie das Verfahren einstellen werde und setzte ihnen Frist, um Beweisanträge zu stellen. Der Straf- und Zivilkläger A.________ erhob dagegen mit Schreiben vom 1. Mai 2019 Beschwerde und stellte gleichzeitig ein Ausstandsgesuch gegen Oberrichterin Schnell. Die Beschwerdekammer in Strafsachen des Obergerichts des Kantons Bern trat mit Beschluss vom 3. Mai 2019 auf die Beschwerde und auf das Ausstandsgesuch nicht ein. Zur Begründung führte sie zusammenfassend aus, dass die abgelehnte Oberrichterin am Beschluss nicht mitwirke. Die Mitteilung der Staatsanwaltschaft nach Art. 318 Abs. 1 StPO sei gemäss Art. 318 Abs. 3 StPO nicht anfechtbar, worauf der Beschwerdeführer hingewiesen worden sei.</w:t>
      </w:r>
    </w:p>
    <w:p>
      <w:r>
        <w:rPr>
          <w:b/>
        </w:rPr>
        <w:t>E. 2</w:t>
      </w:r>
    </w:p>
    <w:p>
      <w:r>
        <w:t>A.________ führt mit Eingabe vom 17. Juni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nicht mit den wesentlichen Ausführungen der Beschwerdekammer auseinander. Er vermag nicht ansatzweise aufzuzeigen,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Dem Ausgang des Verfahrens entsprechend sind daher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