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1B_300/2020 vom 12. Juni 2020</w:t>
      </w:r>
    </w:p>
    <w:p>
      <w:r>
        <w:t>Bundesgericht, 2020-06-12, DE</w:t>
      </w:r>
    </w:p>
    <w:p>
      <w:r>
        <w:rPr>
          <w:b/>
        </w:rPr>
        <w:t xml:space="preserve">Quelle: </w:t>
      </w:r>
      <w:r>
        <w:t>https://mcp.opencaselaw.ch/entscheid/bger_1B_300_2020</w:t>
      </w:r>
    </w:p>
    <w:p>
      <w:r>
        <w:t>FR: TF 1B_300/2020 du 12 juin 2020</w:t>
      </w:r>
    </w:p>
    <w:p>
      <w:r>
        <w:t>IT: TF 1B_300/2020 del 12 giugno 2020</w:t>
      </w:r>
    </w:p>
    <w:p>
      <w:pPr>
        <w:pStyle w:val="Heading2"/>
      </w:pPr>
      <w:r>
        <w:t>Erwägungen</w:t>
      </w:r>
    </w:p>
    <w:p>
      <w:r>
        <w:rPr>
          <w:b/>
        </w:rPr>
        <w:t>E. 1</w:t>
      </w:r>
    </w:p>
    <w:p>
      <w:r>
        <w:t>Am 12. November 2019 verurteilte das Kantonsgericht Basel-Landschaft als Berufungsinstanz A.________ wegen einfacher und grober Verletzung von Verkehrsregeln zu einer bedingten Geldstrafe von 15 Tagessätzen und einer Busse von Fr. 400.--. Am 16. März 2020 erliess die Motorfahrzeugkontrolle Bellach nach den Angaben von A.________ eine Verfügung gegen ihn.</w:t>
      </w:r>
    </w:p>
    <w:p>
      <w:r>
        <w:t>Mit Eingabe vom 9. Juni 2020 erhebt A.________ Beschwerde gegen "das bisherige Verfahren der Strafverfolgungsbehörden" und gegen die Verfügung der Motorfahrzeugkontrolle.</w:t>
      </w:r>
    </w:p>
    <w:p>
      <w:r>
        <w:t>Vernehmlassungen wurden keine eingeholt.</w:t>
      </w:r>
    </w:p>
    <w:p>
      <w:r>
        <w:rPr>
          <w:b/>
        </w:rPr>
        <w:t>E. 2.1</w:t>
      </w:r>
    </w:p>
    <w:p>
      <w:r>
        <w:t>Bei der Verfügung der Motorfahrzeugkontrolle Bellach handelt es sich nicht um einen kantonal letztinstanzlichen Entscheid, weshalb die Beschwerde ans Bundesgericht nicht zulässig ist ( Art. 86 Abs. 1 BGG ). Das schadet dem Beschwerdeführer insofern nicht, als er jedenfalls nach der von ihm ins Recht gelegten Orientierungskopie Beschwerde beim Verwaltungsgericht erhoben hat.</w:t>
      </w:r>
    </w:p>
    <w:p>
      <w:r>
        <w:rPr>
          <w:b/>
        </w:rPr>
        <w:t>E. 2.2</w:t>
      </w:r>
    </w:p>
    <w:p>
      <w:r>
        <w:t>Beim angefochtenen Berufungsurteil handelt es sich um einen kantonal letztinstanzlichen Entscheid, gegen den die Beschwerde ans Bundesgericht offen steht.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Berufungsurteil wurde dem damaligen Anwalt des Beschwerdeführers am 23. Dezember 2019 zugestellt. Der Beschwerdeführer hat seine Beschwerde am 9. Juni 2020 und damit offenkundig nach Ablauf der 30-tägigen Beschwerdefrist ( Art. 100 Abs. 1 BGG ) bei der Post aufgegeben. Das schadet dem Beschwerdeführer insofern nicht, als die Beschwerde nicht in einer den gesetzlichen Anforderungen entsprechenden Weise begründet ist.</w:t>
      </w:r>
    </w:p>
    <w:p>
      <w:r>
        <w:rPr>
          <w:b/>
        </w:rPr>
        <w:t>E. 2.3</w:t>
      </w:r>
    </w:p>
    <w:p>
      <w:r>
        <w:t>Auf die Beschwerde ist damit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