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300/2011 vom 4. Juli 2011</w:t>
      </w:r>
    </w:p>
    <w:p>
      <w:r>
        <w:t>Bundesgericht, 2011-07-04, DE</w:t>
      </w:r>
    </w:p>
    <w:p>
      <w:r>
        <w:rPr>
          <w:b/>
        </w:rPr>
        <w:t xml:space="preserve">Quelle: </w:t>
      </w:r>
      <w:r>
        <w:t>https://mcp.opencaselaw.ch/entscheid/bger_1B_300_2011</w:t>
      </w:r>
    </w:p>
    <w:p>
      <w:r>
        <w:t>FR: TF 1B 300/2011 du 4 juillet 2011</w:t>
      </w:r>
    </w:p>
    <w:p>
      <w:r>
        <w:t>IT: TF 1B 300/2011 del 4 luglio 2011</w:t>
      </w:r>
    </w:p>
    <w:p>
      <w:pPr>
        <w:pStyle w:val="Heading2"/>
      </w:pPr>
      <w:r>
        <w:t>Regeste</w:t>
      </w:r>
    </w:p>
    <w:p>
      <w:r>
        <w:t>Haftentlassung | Strafprozess</w:t>
      </w:r>
    </w:p>
    <w:p>
      <w:pPr>
        <w:pStyle w:val="Heading2"/>
      </w:pPr>
      <w:r>
        <w:t>Erwägungen</w:t>
      </w:r>
    </w:p>
    <w:p>
      <w:r>
        <w:rPr>
          <w:b/>
        </w:rPr>
        <w:t>E. 1.1</w:t>
      </w:r>
    </w:p>
    <w:p>
      <w:r>
        <w:t>Gemäss Art. 78 Abs. 1 BGG beurteilt das Bundesgericht Beschwerden gegen Entscheide in Strafsachen. Der angefochtene Entscheid ist kantonal letztinstanzlich ( Art. 80 BGG ). Er betrifft die Verlängerung der Untersuchungshaft und damit eine Zwangsmassnahme im Sinne von Art. 196 ff. StPO (SR 312.0). Da die umstrittene Verfahrenshandlung das Strafverfahren nicht abschliesst (Art. 90 f. BGG), liegt ein selbstständig eröffneter Zwischenentscheid im Sinne von Art. 93 Abs. 1 BGG vor. Gegen diesen ist die Beschwerde nur unter den Voraussetzungen von Art. 93 Abs. 1 lit. a und b BGG zulässig, d.h. insbesondere wenn er einen nicht wieder gutzumachenden Nachteil bewirken kann. Dies ist bei der in Frage stehenden Verlängerung der Untersuchungshaft ohne Weiteres der Fall.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(vgl. BGE 133 I 270 E. 1.1 S. 272 f.).</w:t>
      </w:r>
    </w:p>
    <w:p>
      <w:r>
        <w:rPr>
          <w:b/>
        </w:rPr>
        <w:t>E. 1.2</w:t>
      </w:r>
    </w:p>
    <w:p>
      <w:r>
        <w:t>Nach Art. 42 Abs. 1 BGG hat die Beschwerde die Begehren und deren Begründung mit Angabe der Beweismittel zu enthalten. Die Begründung hat in der Beschwerdeschrift selbst zu erfolgen. Diesen Anforderungen genügt der Beschwerdeführer nicht, soweit er zur Begründung pauschal auf seine Ausführungen in der Beschwerde an die Vorinstanz respektive in früheren Eingaben verweist. Insoweit kann auf die Beschwerde nicht eingetreten werden.</w:t>
      </w:r>
    </w:p>
    <w:p>
      <w:r>
        <w:rPr>
          <w:b/>
        </w:rPr>
        <w:t>E. 1.3</w:t>
      </w:r>
    </w:p>
    <w:p>
      <w:r>
        <w:t>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 Massnahmen im Sinne von Art. 98 BGG dar. Die nach dieser Bestimmung vorgeschriebene Beschränkung der Rügegründe und das über die Begründungspflicht nach Art. 42 Abs. 2 BGG hinausgehende Rügeprinzip im Sinne von Art. 106 Abs. 2 BGG sind demnach nicht anwendbar (vgl. BGE 1B_277/2011 vom 28. Juni 2011 E. 1.2).</w:t>
      </w:r>
    </w:p>
    <w:p>
      <w:r>
        <w:rPr>
          <w:b/>
        </w:rPr>
        <w:t>E. 2</w:t>
      </w:r>
    </w:p>
    <w:p>
      <w:r>
        <w:t>Nach Art. 221 StPO ist Untersuchungs- und Sicherheitshaft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 Das zuständige Gericht ordnet gemäss Art. 237 StPO an Stelle der Untersuchungs- oder Sicherheitshaft eine oder mehrere mildere Massnahmen an, wenn sie den gleichen Zweck wie die Haft erfüllen (Abs. 1).</w:t>
      </w:r>
    </w:p>
    <w:p>
      <w:r>
        <w:rPr>
          <w:b/>
        </w:rPr>
        <w:t>E. 3</w:t>
      </w:r>
    </w:p>
    <w:p>
      <w:r>
        <w:t>Der Beschwerdeführer ist betreffend Kauf (3 kg), Besitz (6,2 kg) und Verkauf (1,2 kg) von Kokaingemisch geständig und bestreitet den dringenden Tatverdacht des Betäubungsmittelhandels nicht. Hingegen rügt er, die Vorinstanz habe den Haftgrund der Fluchtgefahr gemäss Art. 221 Abs. 1 lit. a StPO zu Unrecht bejaht.</w:t>
      </w:r>
    </w:p>
    <w:p>
      <w:r>
        <w:rPr>
          <w:b/>
        </w:rPr>
        <w:t>E. 3.1</w:t>
      </w:r>
    </w:p>
    <w:p>
      <w:r>
        <w:t>Die Vorinstanz hat erwogen, das Geständnis des Beschwerdeführers beziehe sich auf eine Kokaingemisch-Menge, die einem schweren Fall nach Art. 19 Ziff. 2 des Betäubungsmittelgesetzes (BetmG; SR 812.121) gleichkomme. Dieser Tatbestand sei mit einer Freiheitsstrafe von mindestens einem Jahr bis zu maximal 20 Jahren bedroht. Der Beschwerdeführer habe mit einer empfindlichen Freiheitsstrafe zu rechnen, zumal zu vermuten sei, dass er im oberen Bereich der Hierarchie des Drogenhändlerrings anzusiedeln sei. Der Beschwerdeführer sei Staatsangehöriger der Dominikanischen Republik und habe sich in der Schweiz bloss als Tourist aufgehalten. Er habe engen Kontakt mit seiner in Spanien lebenden Mutter und seiner in den Niederlanden wohnhaften Lebenspartnerin, bei welcher sich auch die 2010 geborene gemeinsame Tochter aufhalte. Zudem pflege er telefonischen Kontakt zu seinem Vater in seinem Heimatland. Das dem Beschwerdeführer vorgeworfene Eingebundensein ins Drogengeschäft ermögliche ihm ferner, in Freiheit schnell untertauchen zu können. Aufgrund der gesamten Umstände sei der besondere Haftgrund der Fluchtgefahr zu bejahen. Ersatzmassnahmen im Sinne von Art. 237 StPO vermöchten den Beschwerdeführer mutmasslich nicht von einer Flucht abzuhalten.</w:t>
      </w:r>
    </w:p>
    <w:p>
      <w:r>
        <w:rPr>
          <w:b/>
        </w:rPr>
        <w:t>E. 3.2</w:t>
      </w:r>
    </w:p>
    <w:p>
      <w:r>
        <w:t>Der Beschwerdeführer wendet ein, er habe sich zwar in der Schweiz bloss als Tourist aufgehalten und würde sich im Fall einer Haftentlassung vorübergehend zu seiner Lebenspartnerin und Tochter in die Niederlande respektive zu seiner Mutter nach Spanien begeben. Er werde sich aber seiner Verantwortung stellen und zur gegebenen Zeit in die Schweiz zurückkehren, um das Verfahren abzuschliessen. Eine Ausreise in die Dominikanische Republik zu seinem Vater, mit welchem er bloss sporadischen Kontakt pflege, sei für ihn demgegenüber keine Option. Bei der Gesamtwürdigung zu berücksichtigen sei weiter, dass er beim Kokaingemisch-Handel nur eine untergeordnete Rolle gespielt habe und nicht vorbestraft sei, weshalb ihm keine mehrjährige Freiheitsstrafe drohe.</w:t>
      </w:r>
    </w:p>
    <w:p>
      <w:r>
        <w:rPr>
          <w:b/>
        </w:rPr>
        <w:t>E. 3.3</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(Urteil des Bundesgerichts 1B_217/2011 vom 7. Juni 2011 E. 5.3). Selbst bei einer befürchteten Ausreise in ein Land, welches die beschuldigte Person grundsätzlich an die Schweiz ausliefern bzw. stellvertretend verfolgen könnte, ist die Annahme von Fluchtgefahr nicht ausgeschlossen (Urteil des Bundesgerichts 1B_172/2010 vom 25. Oktober 2010 E. 3.3).</w:t>
      </w:r>
    </w:p>
    <w:p>
      <w:r>
        <w:rPr>
          <w:b/>
        </w:rPr>
        <w:t>E. 3.4</w:t>
      </w:r>
    </w:p>
    <w:p>
      <w:r>
        <w:t>Die Vorinstanz hat sich im angefochtenen Beschluss eingehend mit dem Haftgrund der Fluchtgefahr auseinandergesetzt. Ihre Ausführungen sind durchwegs überzeugend: Angesichts der Schwere der Vorwürfe droht dem Beschwerdeführer eine hohe Freiheitsstrafe, was einen gewichtigen Anreiz zur Flucht darstellt. Die persönlichen Verhältnisse des Beschwerdeführers sprechen eindeutig für das Vorliegen von Fluchtgefahr. Während er keinerlei Bezug zur Schweiz aufweist, verfügt er über enge familiäre Kontakte in Spanien und den Niederlanden. Der Beschwerdeführer räumt denn auch ein, dass er sich im Fall seiner Haftentlassung nach Spanien oder in die Niederlande begeben würde. Dies aber würde es den Strafverfolgungs- und Gerichtsbehörden massiv erschweren, den jeweiligen Aufenthaltsort des Beschwerdeführers zu ermitteln, und für den Beschwerdeführer wäre es ein Leichtes, unterzutauchen. Die Schweizer Behörden könnten mangels Polizeihoheit zudem nur mit Mühe durchsetzen, dass ihnen der Beschwerdeführer innert nützlicher Frist für Untersuchungshandlungen oder Gerichtsverhandlungen zur Verfügung stünde. Die Anwesenheit des Beschwerdeführers im Verfahren wäre mithin nicht gewährleistet. Dass die Fluchtgefahr bei einem Rückzug ins Ausland als viel höher eingestuft wird als bei einem geregelten Aufenthalt in der Schweiz, verstösst im Übrigen entgegen der Auffassung des Beschwerdeführers nicht gegen das Gebot rechtsgleicher Behandlung, denn insoweit liegen verschiedene Sachverhalte vor, die nach Massgabe ihrer Ungleichheit auch eine unterschiedliche Beurteilung gebieten. Die Vorinstanz hat den besonderen Haftgrund der Fluchtgefahr zusammenfassend zu Recht bejaht.</w:t>
      </w:r>
    </w:p>
    <w:p>
      <w:r>
        <w:rPr>
          <w:b/>
        </w:rPr>
        <w:t>E. 4</w:t>
      </w:r>
    </w:p>
    <w:p>
      <w:r>
        <w:t>Die Beschwerde ist abzuweisen, soweit darauf eingetreten werden kann.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