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1B_2/2022 vom 2. Juni 2022</w:t>
      </w:r>
    </w:p>
    <w:p>
      <w:r>
        <w:t>Bundesgericht, 2022-06-02, DE</w:t>
      </w:r>
    </w:p>
    <w:p>
      <w:r>
        <w:rPr>
          <w:b/>
        </w:rPr>
        <w:t xml:space="preserve">Quelle: </w:t>
      </w:r>
      <w:r>
        <w:t>https://mcp.opencaselaw.ch/entscheid/bger_1B_2_2022</w:t>
      </w:r>
    </w:p>
    <w:p>
      <w:r>
        <w:t>FR: TF 1B_2/2022 du 2 juin 2022</w:t>
      </w:r>
    </w:p>
    <w:p>
      <w:r>
        <w:t>IT: TF 1B_2/2022 del 2 giugno 2022</w:t>
      </w:r>
    </w:p>
    <w:p>
      <w:pPr>
        <w:pStyle w:val="Heading2"/>
      </w:pPr>
      <w:r>
        <w:t>Erwägungen</w:t>
      </w:r>
    </w:p>
    <w:p>
      <w:r>
        <w:rPr>
          <w:b/>
        </w:rPr>
        <w:t>E. 1.1</w:t>
      </w:r>
    </w:p>
    <w:p>
      <w:r>
        <w:t>Beim angefochtenen Beschluss handelt es sich um einen kantonal letztinstanzlichen, selbstständig eröffneten Zwischenentscheid über den Ausstand im Rahmen eines Strafverfahrens. Dagegen steht die Beschwerde in Strafsachen an das Bundesgericht offen (vgl. Art. 78 ff. und Art. 92 Abs. 1 BGG ). Die Beschwerdeführerin war als Gesuchstellerin am vorinstanzlichen Verfahren beteiligt und ist als solche sowie als Adressatin des angefochtenen Beschlusses zur Beschwerde legitimiert (vgl. Art. 81 Abs. 1 BGG ; Urteil 1B_27/2021 vom 15. März 2021 E. 1.2). Da auch die übrigen Sachurteilsvoraussetzungen erfüllt sind, ist auf die Beschwerde grundsätzlich einzutreten.</w:t>
      </w:r>
    </w:p>
    <w:p>
      <w:r>
        <w:rPr>
          <w:b/>
        </w:rPr>
        <w:t>E. 1.2</w:t>
      </w:r>
    </w:p>
    <w:p>
      <w:r>
        <w:t>Nicht einzutreten ist allerdings auf die in der Eingabe der Beschwerdeführerin vom 25. Januar 2022 enthaltenen neuen Vorbringen. Nach Ablauf der Beschwerdefrist dürfen grundsätzlich keine neuen Einwände und Verfahrensanträge nachgeschoben werden (vgl. BGE 143 II 283 E. 1.2.3; 134 IV 156 E. 1.6 f. ; 132 I 42 E. 3.3.4 je mit Hinweisen; Urteil 1C_557/2016 vom 24. März 2017 E. 1.3).</w:t>
      </w:r>
    </w:p>
    <w:p>
      <w:r>
        <w:rPr>
          <w:b/>
        </w:rPr>
        <w:t>E. 1.3</w:t>
      </w:r>
    </w:p>
    <w:p>
      <w:r>
        <w:t>Das Bundesgericht hat die kantonalen Strafakten beigezogen. Dem entsprechenden Antrag der Beschwerdeführerin ist damit Genüge getan.</w:t>
      </w:r>
    </w:p>
    <w:p>
      <w:r>
        <w:rPr>
          <w:b/>
        </w:rPr>
        <w:t>E. 2</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145 I 26 E. 1.3 ; 143 I 377 E. 1.2 ; 136 I 49 E. 1.4.1; je mit Hinweisen). Es obliegt der beschwerdeführenden Person klar und detailliert anhand der Erwägungen des angefochtenen Entscheids darzulegen, inwiefern die angerufenen Rechte verletzt worden sein sollen ( BGE 142 V 577 E. 3.2). Auf Rügen, mit denen bloss allgemein gehaltene, appellatorische Kritik am angefochtenen Entscheid geübt wird, tritt das Bundesgericht nicht ein ( BGE 142 II 369 E. 2.1; 137 V 57 E. 1.3).</w:t>
      </w:r>
    </w:p>
    <w:p>
      <w:r>
        <w:t>Die in der Beschwerde erhobenen Rügen gehen teilweise am Streitgegenstand vorbei und zudem beschränkt sich die Beschwerdeführerin über weite Teile darauf, ohne Auseinandersetzung mit den vorinstanzlichen Erwägungen lediglich ihre Sichtweise der Dinge darzutun. Es ist deshalb fraglich, ob die Beschwerdeschrift den dargelegten Begründungsanforderungen genügt. Wie es sich damit verhält, kann aufgrund der nachstehenden Erwägungen aber offengelassen werden, da sich die Beschwerde in der Sache ohnehin als unbegründet erweist.</w:t>
      </w:r>
    </w:p>
    <w:p>
      <w:r>
        <w:rPr>
          <w:b/>
        </w:rPr>
        <w:t>E. 3</w:t>
      </w:r>
    </w:p>
    <w:p>
      <w:r>
        <w:t>Soweit die Beschwerdeführerin eine Verletzung ihres Anspruchs auf rechtliches Gehör nach Art. 29 Abs. 2 BV geltend macht, ist ihre Rüge nicht zu hören. Entgegen ihrer pauschalen Kritik hat die Vorinstanz bei der Urteilsbegründung sehr wohl berücksichtigt, dass der Beschwerdegegner im Jahr 2007 in seiner damaligen Funktion als Amtsschreiber des Amtsstatthalteramts Willisau bereits einmal mit einem Strafverfahren mit Beteiligung der Beschwerdeführerin befasst war (vgl. E. 4.2 des angefochtenen Beschlusses). Eine Verletzung der Begründungspflicht als Teilgehalt des rechtlichen Gehörs nach Art. 29 Abs. 2 BV ist damit zu verneinen (vgl. statt vieler: BGE 143 III 65 E. 5.2). Inwiefern das Recht auf ein faires Verfahren gemäss Art. 6 Ziff. 1 EMRK der Beschwerdeführerin in diesem Sachzusammenhang einen über den Gehalt Art. 29 Abs. 2 BV hinausgehenden Schutz gewähren sollte, ist weder dargetan noch ersichtlich. Die entsprechende Rüge stösst damit ins Leere.</w:t>
      </w:r>
    </w:p>
    <w:p>
      <w:r>
        <w:rPr>
          <w:b/>
        </w:rPr>
        <w:t>E. 4</w:t>
      </w:r>
    </w:p>
    <w:p>
      <w:r>
        <w:t>In der Sache macht die Beschwerdeführerin sinngemäss geltend, die Vorinstanz habe die Ausstandsgründe von Art. 56 lit. b und lit. f StPO zu Unrecht als nicht erfüllt erachtet.</w:t>
      </w:r>
    </w:p>
    <w:p>
      <w:r>
        <w:rPr>
          <w:b/>
        </w:rPr>
        <w:t>E. 4.1</w:t>
      </w:r>
    </w:p>
    <w:p>
      <w:r>
        <w:t>Nach Art. 56 StPO tritt eine in einer Strafbehörde tätige Person (wozu auch Staatsanwälte und Staatsanwältinnen zählen [ Art. 12 lit. b StPO ]) unter anderem dann in den Ausstand, wenn sie in einer anderen Stellung in der gleichen Sache tätig war (lit. b) oder aus anderen Gründen befangen sein könnte (lit. f). Art. 56 StPO konkretisiert die verfassungs- und konventionsrechtlich geschützte Garantie des unabhängigen und unparteiischen Gerichts nach Art. 30 Abs. 1 BV und Art. 6 Ziff. 1 EMRK .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 BGE 144 I 234 E. 5.2; 143 IV 69 E. 3.2 mit Hinweisen). Bei einer Strafverfolgungsbehörde beurteilt sich die Ausstandspflicht nach Art. 29 Abs. 1 BV . Der Gehalt von Art. 30 Abs. 1 BV darf nicht unbesehen auf nicht richterliche Behörden bzw. auf Art. 29 Abs. 1 BV übertragen werden ( BGE 141 IV 178 E. 3.2.2 mit Hinweisen). Dem funktionellen Unterschied zwischen einem Gericht ( Art. 13 StPO ) und einer Strafverfolgungsbehörde ( Art. 12 StPO ) ist Rechnung zu tragen (vgl. Urteil 1B_139/2018 vom 26. November 2018 E. 4.1).</w:t>
      </w:r>
    </w:p>
    <w:p>
      <w:r>
        <w:rPr>
          <w:b/>
        </w:rPr>
        <w:t>E. 4.2</w:t>
      </w:r>
    </w:p>
    <w:p>
      <w:r>
        <w:t>Der Ausstandsgrund der sog. Vorbefassung nach Art. 56 lit. b StPO setzt voraus, dass die vom Ausstandsgesuch betroffene Person</w:t>
      </w:r>
    </w:p>
    <w:p>
      <w:r>
        <w:t>in einer anderen Stellung in der</w:t>
      </w:r>
    </w:p>
    <w:p>
      <w:r>
        <w:t>gleichen Sache tätig war. Ist die Person in derselben Stellung mit der gleichen Sache mehrfach befasst, liegt keine Vorbefassung im Sinne von Art. 56 lit. b StPO vor ( BGE 143 IV 69 E. 3.1; Urteil 1B_98/2021 vom 3. März 2022 E. 5.4, zur Publikation vorgesehen). Die Mehrfachbefassung kann unter dem Gesichtswinkel von Art. 56 lit. f StPO Bedeutung erlangen, wenn zu erwarten ist, die betroffene Gerichtsperson habe sich in Bezug auf einzelne Fragen bereits in einem Masse festgelegt, dass das Verfahren im späteren Verfahrensabschnitt nicht mehr als offen erscheint (vgl. Urteile 1B_139/2018 vom 26. November 2018 E. 4.2; 1B_549/2017 vom 16. Februar 2018 E. 2; MARKUS BOOG, in: Basler Kommentar StPO, 2. Aufl. 2014, N. 28 zu Art. 56 StPO ).</w:t>
      </w:r>
    </w:p>
    <w:p>
      <w:r>
        <w:t>Diese Voraussetzungen von Art. 56 lit. b StPO sind vorliegend nicht erfüllt. Es steht zwar fest, dass der Beschwerdegegner im Jahr 2007 in seiner früheren Funktion als Amtsschreiber des Amtsstatthalteramts Willisau bereits einmal mit einem Strafverfahren befasst war, in welchem die Beschwerdeführerin gegen ein Behördenmitglied eine Strafanzeige wegen Urkundenfälschung eingereicht hatte. Dieses Verfahren wurde am 29. März 2007 mittels Einstellungsverfügung abgeschlossen. Wie die Vorinstanz richtig festhielt, betraf die damalige Strafuntersuchung im Vergleich zum aktuellen Strafverfahren jedoch nicht den gleichen Personenkreis und stellten sich auch andere Beweis- und Rechtsfragen, weshalb nicht von einer "gleichen Sache" im Sinne von Art. 56 lit. b StPO gesprochen werden kann. Wie die Beschwerdeführerin in Übereinstimmung mit der Vorinstanz selbst anerkennt, hatte der Beschwerdegegner als Amtsschreiber zudem gar keine Entscheidbefugnis, sondern oblag diese dem damaligen Amtsstatthalter von Willisau. In Anbetracht dessen ist nicht ersichtlich und ergeben sich aus den Akten auch keine Hinweise, inwiefern sich der Beschwerdegegner bezüglich den sich vorliegend stellenden Tat- und Rechtsfragen bereits derart festgelegt haben soll, dass der Verfahrensausgang des Strafverfahrens nicht mehr als offen bezeichnet werden könnte. Die Strafuntersuchung aus dem Jahr 2007 stellt damit auch keine ausstandsbegründende Mehrfachbefassung im Sinne von Art. 56 lit. f StPO dar. Zu prüfen bleibt folglich noch, ob die weiteren Vorbringen der Beschwerdeführerin allenfalls geeignet sind, eine Ausstandspflicht gemäss Art. 56 lit. f StPO zu begründen.</w:t>
      </w:r>
    </w:p>
    <w:p>
      <w:r>
        <w:rPr>
          <w:b/>
        </w:rPr>
        <w:t>E. 4.3</w:t>
      </w:r>
    </w:p>
    <w:p>
      <w:r>
        <w:t>Die Befangenheit einer staatsanwaltlichen Untersuchungsleiterin oder eines Untersuchungsleiters im Sinne von Art. 56 lit. f StPO ist nach der Praxis des Bundesgerichts nicht leichthin anzunehmen. Zu bejahen ist sie,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 BGE 143 IV 69 E. 3.2; 141 IV 178 E. 3.2.3; 138 IV 142 E. 2.3). Diesbezüglich sind primär die gegen die zu beanstandenden Verfahrenshandlungen zur Verfügung stehenden Rechtsmittel auszuschöpfen (vgl. BGE 143 IV 69 E. 3.2; Urteil 1B_266/2020 vom 22. Dezember 2020 E. 3.2). Auch voreilige präjudizielle Äusserungen der Untersuchungsleitung können in begründeten Einzelfällen geeignet sein, objektive Zweifel an ihrer Unparteilichkeit zu begründen. Dies kann zum Beispiel zutreffen, wenn die Untersuchungsleitung nicht gewillt erscheint, ihren unzulässigen, vom zuständigen Gericht gerügten Standpunkt zu ändern (vgl. BGE 138 IV 142 E. 2.4).</w:t>
      </w:r>
    </w:p>
    <w:p>
      <w:r>
        <w:t>Entgegen den Vorbringen der Beschwerdeführerin stellt der Umstand, dass der Beschwerdegegner sie dazu aufforderte, ihre Strafanzeige vom 31. Juli 2021 näher zu substanziieren, keine Schikane dar, die eine Ausstandspflicht zu begründen vermöchte. Die Vorinstanz wies insoweit zu Recht darauf hin, dass es für die Ausrichtung einer Strafuntersuchung erforderlich ist, den zur Anzeige gebrachten Sachverhalt genügend klar zu umschreiben. In der Substanziierungsaufforderung ist somit kein krasser Verfahrensfehler im Sinne von Art. 56 lit. f StPO , geschweige denn ein schikanöses Verhalten des Beschwerdegegners zu sehen. Keinen Ausstandsgrund zu setzen vermag sodann die Tatsache, dass die Beschwerdeführerin den Beschwerdegegner in der Zwischenzeit wegen Urkundenfälschung angezeigt zu haben scheint oder dies zumindest zu tun gedenkt. Die Einreichung einer Strafanzeige begründet für sich allein praxisgemäss keinen Anschein der Befangenheit. Andernfalls könnte eine Verfahrenspartei missliebige Mitglieder einer Strafbehörde allein durch Einreichen einer Strafanzeige aus dem Verfahren hinausdrängen (vgl. BGE 134 I 20 E. 4.3.2; Urteil 1B_335/2021 vom 15. September 2021 E. 3.4).</w:t>
      </w:r>
    </w:p>
    <w:p>
      <w:r>
        <w:rPr>
          <w:b/>
        </w:rPr>
        <w:t>E. 4.4</w:t>
      </w:r>
    </w:p>
    <w:p>
      <w:r>
        <w:t>Zusammengefasst liegen nach dem Ausgeführten bei objektiver Betrachtungsweise keine Umstände vor, die den Anschein der Voreingenommenheit des Beschwerdegegners begründen würden. Es ist folglich nicht zu beanstanden, wenn die Vorinstanz das Ausstandsgesuch abgewiesen hat.</w:t>
      </w:r>
    </w:p>
    <w:p>
      <w:r>
        <w:rPr>
          <w:b/>
        </w:rPr>
        <w:t>E. 5</w:t>
      </w:r>
    </w:p>
    <w:p>
      <w:r>
        <w:t>Die Beschwerde ist aus den genannten Gründen abzuweisen, soweit darauf einzutreten ist. Dem Verfahrensausgang entsprechend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