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1B_2/2020 vom 15. Januar 2020</w:t>
      </w:r>
    </w:p>
    <w:p>
      <w:r>
        <w:t>Bundesgericht, 2020-01-15, DE</w:t>
      </w:r>
    </w:p>
    <w:p>
      <w:r>
        <w:rPr>
          <w:b/>
        </w:rPr>
        <w:t xml:space="preserve">Quelle: </w:t>
      </w:r>
      <w:r>
        <w:t>https://mcp.opencaselaw.ch/entscheid/bger_1B_2_2020</w:t>
      </w:r>
    </w:p>
    <w:p>
      <w:r>
        <w:t>FR: TF 1B_2/2020 du 15 janvier 2020</w:t>
      </w:r>
    </w:p>
    <w:p>
      <w:r>
        <w:t>IT: TF 1B_2/2020 del 15 gennaio 2020</w:t>
      </w:r>
    </w:p>
    <w:p>
      <w:pPr>
        <w:pStyle w:val="Heading2"/>
      </w:pPr>
      <w:r>
        <w:t>Erwägungen</w:t>
      </w:r>
    </w:p>
    <w:p>
      <w:r>
        <w:rPr>
          <w:b/>
        </w:rPr>
        <w:t>E. 1</w:t>
      </w:r>
    </w:p>
    <w:p>
      <w:r>
        <w:t>A.________ reichte am 23. Mai 2018 bei der Staatsanwaltschaft des Kantons Schwyz eine "Klage in Sachen Betrugsfall X.________" gegen die "Organe der B.________ Hr. C.________ Finanzen" und die "Organe der Steuerverwaltung des Kt. Schwyz Hr. D.________" betreffend die Delikte "Verlustverrechnung - Pensionskassengelder - Y.________ - Hehlerei und Begünstigung etc." ein. Mit Verfügung vom 7. Juni 2019 liess die Staatsanwaltschaft des Kantons Schwyz A.________ nicht als Privatkläger zu und gewährte ihm keine Einsicht in die Verfahrensakten. Dagegen erhob A.________ am 15. Juni 2019 Beschwerde. Das Kantonsgericht Schwyz wies die Beschwerde mit Beschluss vom 28. November 2019 ab, soweit es darauf eintrat. Zur Begründung führte es zusammenfassend aus, A.________ sei nicht Geschädigter im Sinne von Art. 115 Abs. 1 StPO , weshalb er auch nicht als Privatkläger gemäss Art. 118 Abs. 1 StPO gelten könne. In der vorliegenden Beschwerde stütze A.________ sein angebliches Akteneinsichtsrecht lediglich auf die behauptete Stellung als Privatkläger. Mit den vorinstanzlichen Erwägungen, wonach einem blossen Anzeigeerstatter bzw. Dritten keine Akteneinsicht gewährt werden könne, setze sich A.________ nicht näher auseinander. Insbesondere behaupte er kein überwiegendes schützenswertes Interesse im Sinne von Art. 101 Abs. 3 StPO , was denn auch nicht ersichtlich sei. Soweit überhaupt auf die Rüge einzutreten wäre, wäre diese daher abzuweisen.</w:t>
      </w:r>
    </w:p>
    <w:p>
      <w:r>
        <w:rPr>
          <w:b/>
        </w:rPr>
        <w:t>E. 2</w:t>
      </w:r>
    </w:p>
    <w:p>
      <w:r>
        <w:t>A.________ führt mit Eingabe vom 31. Dezember 2019 Beschwerde in Strafsachen gegen den Beschluss des Kantonsgerichts Schwyz vom 28. November 2019.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Kantonsgericht legte im angefochtenen Beschluss dar, weshalb es dem Beschwerdeführer die Privatklägereigenschaft und in der Folge das Recht auf Einsicht in die Verfahrensakten absprach. Damit setzt sich der Beschwerdeführer nicht rechtsgenüglich auseinander und vermag mit seinen nicht sachbezogenen Ausführungen nicht substanziiert aufzuzeigen, inwiefern die Begründung des Kantonsgerichts, die zur Abweisung der Beschwerde führte, bzw. der Beschluss des Kantonsgerichts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Mit dem vorliegenden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