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2/2015 vom 19. März 2015</w:t>
      </w:r>
    </w:p>
    <w:p>
      <w:r>
        <w:t>Bundesgericht, 2015-03-19, DE</w:t>
      </w:r>
    </w:p>
    <w:p>
      <w:r>
        <w:rPr>
          <w:b/>
        </w:rPr>
        <w:t xml:space="preserve">Quelle: </w:t>
      </w:r>
      <w:r>
        <w:t>https://mcp.opencaselaw.ch/entscheid/bger_1B_2_2015</w:t>
      </w:r>
    </w:p>
    <w:p>
      <w:r>
        <w:t>FR: TF 1B 2/2015 du 19 mars 2015</w:t>
      </w:r>
    </w:p>
    <w:p>
      <w:r>
        <w:t>IT: TF 1B 2/2015 del 19 marzo 2015</w:t>
      </w:r>
    </w:p>
    <w:p>
      <w:pPr>
        <w:pStyle w:val="Heading2"/>
      </w:pPr>
      <w:r>
        <w:t>Regeste</w:t>
      </w:r>
    </w:p>
    <w:p>
      <w:r>
        <w:t>Ausstand | Zuständigkeitsfragen, Garantie des Wohnsitzrichters und des v...</w:t>
      </w:r>
    </w:p>
    <w:p>
      <w:pPr>
        <w:pStyle w:val="Heading2"/>
      </w:pPr>
      <w:r>
        <w:t>Erwägungen</w:t>
      </w:r>
    </w:p>
    <w:p>
      <w:r>
        <w:rPr>
          <w:b/>
        </w:rPr>
        <w:t>E. 1.1</w:t>
      </w:r>
    </w:p>
    <w:p>
      <w:r>
        <w:t>Anfechtungsobjekt ist der kantonal letztinstanzliche Entscheid betreffend das Ausstandsbegehren gegen den Präsidenten des Strafgerichts Basel-Stadt. Soweit der Beschwerdeführer die örtliche Zuständigkeit der Strafverfolgungsbehörden des Kantons Basel-Stadt beanstandet, hätte er diese Einrede unverzüglich vorbringen und die Überweisung des Falles an die seines Erachtens zuständige Strafbehörde des Kantons Basel-Land beantragen müssen ( Art. 41 Abs. 1 StPO ). Er hat den Gerichtsstand jedoch erst vor dem Strafgericht Basel-Stadt (und somit verspätet) angefochten. Darauf ist nicht einzutreten.</w:t>
      </w:r>
    </w:p>
    <w:p>
      <w:r>
        <w:rPr>
          <w:b/>
        </w:rPr>
        <w:t>E. 1.2</w:t>
      </w:r>
    </w:p>
    <w:p>
      <w:r>
        <w:t>Gegen selbständig eröffnete Zwischenentscheide letzter kantonaler Instanzen über den Ausstand von Gerichtspersonen im Strafprozess steht die Beschwerde in Strafsachen an das Bundesgericht grundsätzlich offen ( Art. 78 Abs. 1 und Art. 92 Abs. 1 BGG sowie Art. 80 BGG i.V.m. Art. 59 Abs. 1 lit. b und Art. 380 StPO ).</w:t>
      </w:r>
    </w:p>
    <w:p>
      <w:r>
        <w:rPr>
          <w:b/>
        </w:rPr>
        <w:t>E. 1.3</w:t>
      </w:r>
    </w:p>
    <w:p>
      <w:r>
        <w:t>Die Person, die den Ausstand beantragt und am vorinstanzlichen Verfahren teilgenommen hat, ist nach Art. 81 Abs. 1 BGG zur Beschwerde berechtigt.</w:t>
      </w:r>
    </w:p>
    <w:p>
      <w:r>
        <w:rPr>
          <w:b/>
        </w:rPr>
        <w:t>E. 1.4</w:t>
      </w:r>
    </w:p>
    <w:p>
      <w:r>
        <w:t>Die weiteren Sachurteilsvoraussetzungen geben zu keinen Bemerkungen Anlass. Auf die Beschwerde ist grundsätzlich einzutreten.</w:t>
      </w:r>
    </w:p>
    <w:p>
      <w:r>
        <w:rPr>
          <w:b/>
        </w:rPr>
        <w:t>E. 2</w:t>
      </w:r>
    </w:p>
    <w:p>
      <w:r>
        <w:t>Das Bundesgericht legt seinem Urteil den Sachverhalt zu Grunde, den die Vorinstanz festgestellt hat ( Art. 105 Abs. 1 BGG ). Unzulässig sind echte tatsächliche Noven, das heisst solche Tatsachen, die erst nach dem Ergehen des angefochtenen Entscheids aufgetreten sind (vgl. statt vieler BGE 135 I 221 E. 5.2.4 S. 229 ff. mit Hinweisen). Indem der Beschwerdeführer den Zwischenfall vom 15. Dezember 2014 thematisiert - der Gerichtspräsident hatte ihn damals als Zuschauer in einer anderen Gerichtsverhandlung aus dem Saal verwiesen - bringt er Tatsachen zur Sprache, die sich erst nach dem angefochtenen Entscheid vom 9. Dezember 2014 ereignet haben. Darauf ist nicht einzutreten.</w:t>
      </w:r>
    </w:p>
    <w:p>
      <w:r>
        <w:rPr>
          <w:b/>
        </w:rPr>
        <w:t>E. 3</w:t>
      </w:r>
    </w:p>
    <w:p>
      <w:r>
        <w:t>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 bei objektiver Betrachtung - geeignet sind, Misstrauen in die Unparteilichkeit des Richters zu erwecken. Bei der Beurteilung solcher Umstände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Voreingenommenheit erwecken ( BGE 140 I 326 E. 5.1 S. 328 ; 137 I 227 E. 2.1 S. 229; je mit Hinweisen).</w:t>
      </w:r>
    </w:p>
    <w:p>
      <w:r>
        <w:rPr>
          <w:b/>
        </w:rPr>
        <w:t>E. 4.1</w:t>
      </w:r>
    </w:p>
    <w:p>
      <w:r>
        <w:t>Die verfassungs- bzw. konventionsrechtliche Garantie wird in Art. 56 StPO konkretisiert ( BGE 138 I 425 E. 4.2.1 S. 428 mit Hinweisen). Danach hat eine in einer Strafbehörde tätige Person insbesondere in den Ausstand zu treten, wenn sie in der in der Sache ein persönliches Interesse hat (lit. a), mit einer verfahrensbeteiligten Person oder ihrem Rechtsbeistand verwandt ist (lit. c-e) oder aus anderen Gründen, insbesondere wegen Freundschaft oder Feindschaft mit einer Partei oder deren Rechtsbeistand, befangen sein könnte (lit. f).</w:t>
      </w:r>
    </w:p>
    <w:p>
      <w:r>
        <w:rPr>
          <w:b/>
        </w:rPr>
        <w:t>E. 4.2</w:t>
      </w:r>
    </w:p>
    <w:p>
      <w:r>
        <w:t>Der Beschwerdeführer bringt vor, die "Basler Zeitung" und der "Baslerstab" hätten zwei Artikel über ihn veröffentlicht, die seines Erachtens "hetzerisch" und "rufmörderisch" gewesen seien. Als Cousin des ehemaligen Verlegers dieser Zeitungen hätte der Gerichtspräsident in den Ausstand treten müssen. Dem kann nicht gefolgt werden, zumal nicht ersichtlich ist, weshalb der Beschwerdegegner befangen sein soll, wenn die "Basler Zeitung" (wie alle anderen lokalen Medien) die dem Strafverfahren zu Grunde liegende Vorfälle an einer öffentlichen Schule thematisiert. Zwar trifft es zu, dass der ehemalige Verleger und Verwaltungsratspräsident der Basler Zeitung Medien AG in einem Interview vom 1. Juli 2009 sich dahin gehend geäussert hat, dass die dritte Generation der Familie, darunter auch sein Cousin Lucius Hagemann, ein Wort mitzureden habe. Bei dieser Mitsprache ging es aber um strategische Fragen betreffend die Zukunft des Verlagshauses (das schliesslich im Jahr 2010 den Eigentümer wechselte). Insofern bestehen keine Anhaltspunkte für die Annahme, der Beschwerdegegner habe Einfluss auf die Veröffentlichung von Artikeln in der "Basler Zeitung" oder im "Baslerstab" nehmen können. Somit ist der Ausstandsgrund des Art. 56 lit. a StPO nicht gegeben.</w:t>
      </w:r>
    </w:p>
    <w:p>
      <w:r>
        <w:rPr>
          <w:b/>
        </w:rPr>
        <w:t>E. 4.3</w:t>
      </w:r>
    </w:p>
    <w:p>
      <w:r>
        <w:t>Soweit der Beschwerdeführer den Ausstand des Gerichtspräsidenten damit begründet, dieser habe am 15. November 2014 seine Verfahrens- und Beweisanträge zu Unrecht abgewiesen, ist auf die bundesgerichtliche Rechtsprechung zu verweisen. Danach vermögen Verfahrensmassnahmen, seien sie richtig oder falsch, als solche keinen objektiven Verdacht der Voreingenommenheit des Richters zu begründen, der sie verfügt hat ( BGE 114 Ia 153 E. 3 b/bb S. 158; 111 Ia 264 3b/aa mit Hinweisen). Als möglicher Ablehnungsgrund kämen nur besonders krasse oder ungewöhnlich häufige Versäumnisse und Mängel in Frage (Urteil 1B_224/2010 vom 11. Januar 2011 E. 4.5.2). Davon kann hier nicht gesprochen werden, zumal der Beschwerdegegner die Ablehnung objektiv und nachvollziehbar begründet hat.</w:t>
      </w:r>
    </w:p>
    <w:p>
      <w:r>
        <w:rPr>
          <w:b/>
        </w:rPr>
        <w:t>E. 4.4</w:t>
      </w:r>
    </w:p>
    <w:p>
      <w:r>
        <w:t>Da der Beschwerdeführer mit dem Gerichtspräsidenten weder verwandt noch verschwägert ist, fällt der Ausstandsgrund nach Art. 56 lit. d StPO ebenfalls ausser Betracht.</w:t>
      </w:r>
    </w:p>
    <w:p>
      <w:r>
        <w:rPr>
          <w:b/>
        </w:rPr>
        <w:t>E. 5</w:t>
      </w:r>
    </w:p>
    <w:p>
      <w:r>
        <w:t>Nach dem Gesagten ist die Beschwerde abzuweisen, soweit darauf eingetreten werden kann. Bei diesem Ausgang des Verfahrens trägt der unterliegende Beschwerdeführer die Kosten ( Art. 66 Abs. 1 BGG ). Am 23. Januar 2015 hat der Beschwerdeführer den Kostenvorschuss einbezahlt. Von der Möglichkeit, ein begründetes und dokumentiertes Gesuch um unentgeltliche Rechtspflege einzureichen (vgl. Verfügung vom 21. Januar 2015), hat er nicht Gebrauch gemacht. Damit erübrigen sich weitere Ausführungen zu einer allfälligen Kostenbefreiung.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