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1B_29/2015 vom 16. Juni 2015</w:t>
      </w:r>
    </w:p>
    <w:p>
      <w:r>
        <w:t>Bundesgericht, 2015-06-16, DE</w:t>
      </w:r>
    </w:p>
    <w:p>
      <w:r>
        <w:rPr>
          <w:b/>
        </w:rPr>
        <w:t xml:space="preserve">Quelle: </w:t>
      </w:r>
      <w:r>
        <w:t>https://mcp.opencaselaw.ch/entscheid/bger_1B_29_2015</w:t>
      </w:r>
    </w:p>
    <w:p>
      <w:r>
        <w:t>FR: TF 1B_29/2015 du 16 juin 2015</w:t>
      </w:r>
    </w:p>
    <w:p>
      <w:r>
        <w:t>IT: TF 1B_29/2015 del 16 giugno 2015</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somit nach Art. 80 BGG zulässig.</w:t>
      </w:r>
    </w:p>
    <w:p>
      <w:r>
        <w:t>Die Beschwerdeführerin macht eine Verletzung von Parteirechten geltend, die ihr aufgrund der Strafprozessordnung zustehen. Sie ist insoweit gemäss Art. 81 Abs. 1 BGG zur Beschwerde befugt ( BGE 141 IV 1 E. 1.1 S. 5 mit Hinweisen).</w:t>
      </w:r>
    </w:p>
    <w:p>
      <w:r>
        <w:t>Der angefochtene Entscheid schliesst für die Beschwerdeführerin das Verfahren ab. Er ist deshalb als Endentscheid nach Art. 90 BGG anzusehen ( BGE 139 IV 310 E. 1 S. 312).</w:t>
      </w:r>
    </w:p>
    <w:p>
      <w:r>
        <w:t>Die weiteren Sachurteilsvoraussetzungen geben zu keinen Bemerkungen Anlass.</w:t>
      </w:r>
    </w:p>
    <w:p>
      <w:r>
        <w:rPr>
          <w:b/>
        </w:rPr>
        <w:t>E. 2.1</w:t>
      </w:r>
    </w:p>
    <w:p>
      <w:r>
        <w:t>Partei ist namentlich die Privatklägerschaft ( Art. 104 Abs. 1 lit. b StPO ). Als Privatklägerschaft gilt die geschädigte Person, die ausdrücklich erklärt, sich am Strafverfahren als Straf- oder Zivilklägerin oder -kläger zu beteiligen ( Art. 118 Abs. 1 StPO ). Als geschädigte Person gilt die Person, die durch die Straftat in ihren Rechten unmittelbar verletzt worden ist ( Art. 115 Abs. 1 StPO ).</w:t>
      </w:r>
    </w:p>
    <w:p>
      <w:r>
        <w:t>Die Vorinstanz ist der Auffassung, die Beschwerdeführerin sei durch die dem Beschwerdegegner vorgeworfenen Straftaten lediglich mittelbar in ihren Vermögensrechten verletzt worden, weshalb ihr keine Parteistellung zukomme. Die Beschwerdeführerin macht geltend, dies verletze Bundesrecht; sie sei unmittelbar geschädigt.</w:t>
      </w:r>
    </w:p>
    <w:p>
      <w:r>
        <w:rPr>
          <w:b/>
        </w:rPr>
        <w:t>E. 2.2</w:t>
      </w:r>
    </w:p>
    <w:p>
      <w:r>
        <w:t>Gemäss Art. 138 Ziff. 1 Abs. 2 StGB wird wegen Veruntreuung bestraft, wer ihm anvertraute Vermögenswerte unrechtmässig in seinem oder eines anderen Nutzen verwendet.</w:t>
      </w:r>
    </w:p>
    <w:p>
      <w:r>
        <w:t>Nach Art. 158 Ziff. 1 StGB macht sich der ungetreuen Geschäftsbesorgung schuldig, wer aufgrund des Gesetzes, eines behördlichen Auftrags oder eines Rechtsgeschäfts damit betraut ist, Vermögen eines andern zu verwalten oder eine solche Vermögensverwaltung zu beaufsichtigen, und dabei unter Verletzung seiner Pflichten bewirkt oder zulässt, dass der andere am Vermögen geschädigt wird.</w:t>
      </w:r>
    </w:p>
    <w:p>
      <w:r>
        <w:rPr>
          <w:b/>
        </w:rPr>
        <w:t>E. 2.3.1</w:t>
      </w:r>
    </w:p>
    <w:p>
      <w:r>
        <w:t>Die Beschwerdeführerin wirft dem Beschwerdegegner in erster Linie eine Veruntreuung vor.</w:t>
      </w:r>
    </w:p>
    <w:p>
      <w:r>
        <w:rPr>
          <w:b/>
        </w:rPr>
        <w:t>E. 2.3.2</w:t>
      </w:r>
    </w:p>
    <w:p>
      <w:r>
        <w:t>Es kann dahingestellt bleiben, ob die von der Beschwerdeführerin in den Fonds investierten Vermögenswerte dem Beschwerdegegner anvertraut waren. Die Beschwerdeführerin überwies das investierte Kapital dem Fonds, dem unstreitig eine eigene Rechtspersönlichkeit zukommt. Dafür erhielt die Beschwerdeführerin Anteile ("shares") am Fonds. Hätte der Beschwerdegegner, wie die Beschwerdeführerin mutmasst, Fondsvermögen in seinem Nutzen verwendet, wäre dadurch unmittelbar der Fonds geschädigt worden. Die Beschwerdeführerin wäre lediglich mittelbar geschädigt worden. Dies entspricht in Konstellationen wie hier der bundesgerichtlichen Rechtsprechung ( BGE 140 IV 155 E. 3.3.1 S. 158; Urteile 6B_680/2013 vom 6. November 2013 E. 3; 1B_294/2013 vom 24. September 2013 E. 2.1; je mit Hinweisen). Auf diese zurückzukommen besteht kein Anlass.</w:t>
      </w:r>
    </w:p>
    <w:p>
      <w:r>
        <w:rPr>
          <w:b/>
        </w:rPr>
        <w:t>E. 2.3.3</w:t>
      </w:r>
    </w:p>
    <w:p>
      <w:r>
        <w:t>Die Beschwerdeführerin bringt vor, der Beschwerdegegner habe ihr einen unmittelbaren Schaden zugefügt, indem er ihr Informationen zum Stand des Vermögens des Fonds vorenthalten habe. Dadurch habe die Beschwerdeführerin ihre Anteile nicht mehr beziffern können, weshalb sie diese - wenn überhaupt - nicht mehr zum wirklichen Wert habe veräussern können.</w:t>
      </w:r>
    </w:p>
    <w:p>
      <w:r>
        <w:t>Es ist nicht erkennbar und die Beschwerdeführerin legt nicht dar, inwiefern der Beschwerdegegner einzig dadurch, dass er ihr Informationen vorenthalten haben soll, eine Veruntreuung begangen haben könnte. Die Erfüllung des Tatbestandes setzt die Absicht des Täters voraus, sich oder einen anderen unrechtmässig zu bereichern ( BGE 118 IV 32 E. 2a S. 34 mit Hinweis; MARCEL ALEXANDER NIGGLI/CHRISTOF RIEDO, in: Strafrecht II, Basler Kommentar, 3. Aufl., N. 113 zu Art. 138 StGB ). Es ist nicht auszumachen, inwiefern die unrechtmässige Bereicherungsabsicht erfüllt sein könnte, wenn der Täter einem Investor lediglich Informationen vorenthält, ohne anvertraute Vermögenswerte in seinem oder eines anderen Nutzen zu verwenden.</w:t>
      </w:r>
    </w:p>
    <w:p>
      <w:r>
        <w:rPr>
          <w:b/>
        </w:rPr>
        <w:t>E. 2.3.4</w:t>
      </w:r>
    </w:p>
    <w:p>
      <w:r>
        <w:t>Soweit eine Veruntreuung überhaupt in Betracht kommt, ist die Beschwerdeführerin demnach lediglich mittelbar geschädigt.</w:t>
      </w:r>
    </w:p>
    <w:p>
      <w:r>
        <w:rPr>
          <w:b/>
        </w:rPr>
        <w:t>E. 2.3.5</w:t>
      </w:r>
    </w:p>
    <w:p>
      <w:r>
        <w:t>Dasselbe gilt für den Tatbestand der ungetreuen Geschäftsbesorgung. Nach der Strafanzeige war der Beschwerdegegner für den Fonds verantwortlich. Er war somit nach Art. 158 Ziff. 1 StGB durch Rechtsgeschäft damit betraut, Vermögen eines andern zu verwalten. Dieser "andere" war der Fonds. Hätte der Beschwerdegegner unter Verletzung seiner Pflichten bewirkt, dass der Fonds am Vermögen geschädigt wird, hätte wiederum dieser einen unmittelbaren Schaden erlitten. Die Beschwerdeführerin wäre lediglich mittelbar geschädigt gewesen.</w:t>
      </w:r>
    </w:p>
    <w:p>
      <w:r>
        <w:rPr>
          <w:b/>
        </w:rPr>
        <w:t>E. 2.4</w:t>
      </w:r>
    </w:p>
    <w:p>
      <w:r>
        <w:t>Wenn die Vorinstanz die unmittelbare Schädigung der Beschwerdeführerin verneint und ihr daher keine Parteistellung zuerkannt hat, verletzt das demnach kein Bundesrecht.</w:t>
      </w:r>
    </w:p>
    <w:p>
      <w:r>
        <w:rPr>
          <w:b/>
        </w:rPr>
        <w:t>E. 3</w:t>
      </w:r>
    </w:p>
    <w:p>
      <w:r>
        <w:t>Unbehelflich ist die Beschwerde ebenso, soweit die Beschwerdeführerin geltend macht, die Vorinstanz habe ihren Anspruch auf rechtliches Gehör ( Art. 29 Abs. 2 BV ) verletzt, indem sie ihren Entscheid ungenügend begründet habe. Die Vorinstanz hat ihren Entscheid eingehend und nachvollziehbar begründet. Die Beschwerdeführerin war denn auch ohne Weiteres in der Lage, diesen sachgerecht anzufechten. Die Vorinstanz musste sich nicht mit jedem tatsächlichen oder rechtlichen Einwand auseinandersetzen. Wenn sie sich auf die wesentlichen Gesichtspunkte beschränkt hat, ist das nicht zu beanstanden ( BGE 139 IV 179 E. 2.2 S. 183 mit Hinweisen).</w:t>
      </w:r>
    </w:p>
    <w:p>
      <w:r>
        <w:rPr>
          <w:b/>
        </w:rPr>
        <w:t>E. 4</w:t>
      </w:r>
    </w:p>
    <w:p>
      <w:r>
        <w:t>Die Beschwerde ist abzuweisen.</w:t>
      </w:r>
    </w:p>
    <w:p>
      <w:r>
        <w:t>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