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1B_298/2020 vom 17. März 2021</w:t>
      </w:r>
    </w:p>
    <w:p>
      <w:r>
        <w:t>Bundesgericht, 2021-03-17, DE</w:t>
      </w:r>
    </w:p>
    <w:p>
      <w:r>
        <w:rPr>
          <w:b/>
        </w:rPr>
        <w:t xml:space="preserve">Quelle: </w:t>
      </w:r>
      <w:r>
        <w:t>https://mcp.opencaselaw.ch/entscheid/bger_1B_298_2020</w:t>
      </w:r>
    </w:p>
    <w:p>
      <w:r>
        <w:t>FR: TF 1B_298/2020 du 17 mars 2021</w:t>
      </w:r>
    </w:p>
    <w:p>
      <w:r>
        <w:t>IT: TF 1B_298/2020 del 17 marzo 2021</w:t>
      </w:r>
    </w:p>
    <w:p>
      <w:pPr>
        <w:pStyle w:val="Heading2"/>
      </w:pPr>
      <w:r>
        <w:t>Erwägungen</w:t>
      </w:r>
    </w:p>
    <w:p>
      <w:r>
        <w:rPr>
          <w:b/>
        </w:rPr>
        <w:t>E. 1.1</w:t>
      </w:r>
    </w:p>
    <w:p>
      <w:r>
        <w:t>Gegen den angefochtenen Entscheid ist gemäss Art. 78 Abs. 1 BGG die Beschwerde in Strafsachen gegeben. Ein kantonales Rechtsmittel steht nicht zur Verfügung. Die Vorinstanz hat nach Art. 248 Abs. 3 lit. a i.V.m. Art. 380 StPO als einzige kantonale Instanz entschieden. Die Beschwerde ist somit gemäss Art. 80 BGG zulässig. Die Beschwerdeführerin verfolgt sämtliche Straftaten im gesamten Kanton. Sie ist daher nach Art. 81 Abs. 1 lit. a und b Ziff. 3 BGG zur Beschwerde berechtigt ( BGE 142 IV 196 E. 1.5.2 S. 200; Urteil 1B_438/2020 vom 27. November 2020 E. 1 mit Hinweis).</w:t>
      </w:r>
    </w:p>
    <w:p>
      <w:r>
        <w:rPr>
          <w:b/>
        </w:rPr>
        <w:t>E. 1.2</w:t>
      </w:r>
    </w:p>
    <w:p>
      <w:r>
        <w:t>Der angefochtene Entscheid schliesst das Strafverfahren nicht ab. Er stellt einen Zwischenentscheid dar. Dieser betrifft weder die Zuständigkeit noch den Ausstand. Es handelt sich somit um einen "anderen Zwischenentscheid" nach Art. 93 BGG . Dagegen ist gemäss Absatz 1 dieser Bestimmung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im Strafrecht beim nicht wieder gutzumachenden Nachteil im Sinne von Art. 93 Abs. 1 lit. a BGG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Das Erfordernis des nicht wieder gutzumachenden Nachteils rechtlicher Natur soll sicherstellen, dass sich das Bundesgericht soweit möglich nicht mehrmals mit einer Angelegenheit befassen muss. Art. 93 Abs. 1 lit. a BGG ist restriktiv zu handhaben ( BGE 144 III 475 E. 1.2 S. 479 mit Hinweisen).</w:t>
      </w:r>
    </w:p>
    <w:p>
      <w:r>
        <w:t>Im Beweisrecht droht der Staatsanwaltschaft nach der Rechtsprechung ein nicht wieder gutzumachender Nachteil rechtlicher Natur, wenn ohne das in Frage stehende Beweismittel die Weiterführung des Strafverfahrens verunmöglicht oder zumindest stark erschwert wird. Dies trifft nicht zu, wenn der Staatsanwaltschaft andere Untersuchungsmassnahmen zur Weiterführung des Strafverfahrens und gegebenenfalls Anklageerhebung zur Verfügung stehen. In jedem Fall ist es Sache der Staatsanwaltschaft, die Voraussetzung von Art. 93 Abs. 1 lit. a BGG darzutun, damit auf ihre Beschwerde eingetreten werden kann ( BGE 141 IV 284 E. 2.4 S. 287 f.; 289 E. 1.4 S. 292; je mit Hinweisen). Diese Rechtsprechung gilt auch bei der Entsiegelung (Urteile 1B_108/2020 vom 25. November 2020 E. 5.2; 1B_526/2017 vom 4. Mai 2018 E. 1.3.1; je mit Hinweisen).</w:t>
      </w:r>
    </w:p>
    <w:p>
      <w:r>
        <w:rPr>
          <w:b/>
        </w:rPr>
        <w:t>E. 1.3.1</w:t>
      </w:r>
    </w:p>
    <w:p>
      <w:r>
        <w:t>Die Vorinstanz legt dar, sie habe die im Mobiltelefon des Beschwerdegegners enthaltenen Bilder und Videos gesichtet. Diese enthielten keine Inhalte, welche im Zusammenhang mit der abzuklärenden Straftat stünden, und seien als mögliche Beweismittel somit unerheblich. Die Vorinstanz sonderte die Bilder und Videos deshalb aus und ordnete deren Löschung nach Ablauf der Rechtsmittelfrist bzw. Erledigung allfälliger Rechtsmittelverfahren an.</w:t>
      </w:r>
    </w:p>
    <w:p>
      <w:r>
        <w:rPr>
          <w:b/>
        </w:rPr>
        <w:t>E. 1.3.2</w:t>
      </w:r>
    </w:p>
    <w:p>
      <w:r>
        <w:t>Die Beschwerdeführerin macht geltend, aufgrund der Bilder und Videos könnte allenfalls geklärt werden, wo sich der Beschwerdegegner im Zeitpunkt des Einbruchdiebstahls aufgehalten habe.</w:t>
      </w:r>
    </w:p>
    <w:p>
      <w:r>
        <w:t>Das Vorbringen genügt nicht für die Annahme eines nicht wieder gutzumachenden Nachteils rechtlicher Natur. Die Vorinstanz hat die im Mobiltelefon des Beschwerdegegners enthaltenen Standortdaten, welche die Kantonspolizei St. Gallen nach deren Bericht vom 14. Februar 2020 (S. 2) gesichert hat, der Beschwerdeführerin freigegeben. Damit kann diese ermitteln, wo sich der Beschwerdegegner wann aufhielt. Wenn die Beschwerdeführerin keinen Zugang zu den Bildern und Videos hat, erschwert das daher insoweit die Strafuntersuchung nicht stark.</w:t>
      </w:r>
    </w:p>
    <w:p>
      <w:r>
        <w:rPr>
          <w:b/>
        </w:rPr>
        <w:t>E. 1.3.3</w:t>
      </w:r>
    </w:p>
    <w:p>
      <w:r>
        <w:t>Die Beschwerdeführerin bringt im Weiteren vor, anhand der Bilder und Videos könnte möglicherweise ermittelt werden, ob und inwiefern der Beschwerdegegner zur Person, welche ihm das "iPhone 8" in der Bar angeblich verkauft habe, Kontakt gehabt habe.</w:t>
      </w:r>
    </w:p>
    <w:p>
      <w:r>
        <w:t>Die Beschwerdeführerin verfügt aufgrund des angefochtenen Entscheids über umfangreiche Daten, die einen allfälligen Kontakt des Beschwerdegegners mit dem angeblichen Verkäufer beweisen könnten. Die Vorinstanz hat namentlich freigegeben: Die Anruflisten, SMS-Nachrichten, Chats, Audiodateien mit Quellenanhang WhatsApp, Kontakte und E-Mails (vgl. zu den Einzelheiten oben lit. B). In Anbetracht der Menge dieser Daten kann den Bildern und Videos keine zentrale Bedeutung mehr beigemessen werden, zumal es sich bei Letzteren um keine Kommunikationsdaten handelt. Die Beschwerdeführerin befindet sich aufgrund der von der Vorinstanz freigegebenen Daten bereits in einer vergleichsweise guten Lage, um einen allfälligen Kontakt des Beschwerdegegners mit dem Verkäufer, sofern es diesen überhaupt gibt, beweisen zu können. Es kann deshalb nicht gesagt werden, dass der fehlende Zugriff der Beschwerdeführerin auf die Bilder und Videos die Weiterführung des Strafverfahrens zumindest stark erschwert. Die Beschwerdeführerin verfügt mit den freigegebenen Daten vielmehr über anderweitige Ermittlungsansätze. Im Lichte der dargelegten restriktiven Rechtsprechung, welche die Beschwerde der Staatsanwaltschaft gegen einen Zwischenentscheid nicht bei jeder Ablehnung der Verwendung eines Beweismittels zulässt, kann daher auch insoweit kein nicht wieder gutzumachender Nachteil rechtlicher Natur angenommen werden.</w:t>
      </w:r>
    </w:p>
    <w:p>
      <w:r>
        <w:rPr>
          <w:b/>
        </w:rPr>
        <w:t>E. 1.3.4</w:t>
      </w:r>
    </w:p>
    <w:p>
      <w:r>
        <w:t>Die im Mobiltelefon des Beschwerdegegners enthaltenen Daten wurden vollständig gespiegelt. Damit ist nicht erkennbar, dass die Rückgabe des Mobiltelefons an den Beschwerdegegner der Beschwerdeführerin einen nicht wieder gutzumachenden Nachteil rechtlicher Natur verursachen können sollte.</w:t>
      </w:r>
    </w:p>
    <w:p>
      <w:r>
        <w:rPr>
          <w:b/>
        </w:rPr>
        <w:t>E. 1.4</w:t>
      </w:r>
    </w:p>
    <w:p>
      <w:r>
        <w:t>Ist demnach ein derartiger Nachteil weder dargetan noch ersichtlich, kann auf die Beschwerde nicht eingetreten werden.</w:t>
      </w:r>
    </w:p>
    <w:p>
      <w:r>
        <w:rPr>
          <w:b/>
        </w:rPr>
        <w:t>E. 1.5</w:t>
      </w:r>
    </w:p>
    <w:p>
      <w:r>
        <w:t>Klarzustellen bleibt Folgendes: Ist die Beschwerde nach Art. 93 Abs. 1 BGG nicht zulässig, so ist gemäss Art. 93 Abs. 3 BGG der betreffende Zwischenentscheid durch Beschwerde gegen den Endentscheid anfechtbar, soweit er sich auf dessen Inhalt auswirkt. Die Beschwerdeführerin kann somit den vorinstanzlichen Entscheid gegebenenfalls mit Beschwerde gegen den Endentscheid anfechten. Die Vorinstanz darf deshalb die Bilder und Videos noch nicht löschen, sondern muss sie bis zum Abschluss des Strafverfahrens aufbewahren.</w:t>
      </w:r>
    </w:p>
    <w:p>
      <w:r>
        <w:rPr>
          <w:b/>
        </w:rPr>
        <w:t>E. 2</w:t>
      </w:r>
    </w:p>
    <w:p>
      <w:r>
        <w:t>Bei diesem Ausgang des Verfahrens sind keine Gerichtskosten zu erheben ( Art. 66 Abs. 4 BGG ). Der Kanton hat dem Vertreter des Beschwerdegegners eine Entschädigung zu bezahlen ( Art. 68 Abs. 1 und 2 BGG ). Das Gesuch um unentgeltliche Rechtspflege und Verbeiständung nach Art. 64 BGG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