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298/2015 vom 19. Oktober 2015</w:t>
      </w:r>
    </w:p>
    <w:p>
      <w:r>
        <w:t>Bundesgericht, 2015-10-19, DE</w:t>
      </w:r>
    </w:p>
    <w:p>
      <w:r>
        <w:rPr>
          <w:b/>
        </w:rPr>
        <w:t xml:space="preserve">Quelle: </w:t>
      </w:r>
      <w:r>
        <w:t>https://mcp.opencaselaw.ch/entscheid/bger_1B_298_2015</w:t>
      </w:r>
    </w:p>
    <w:p>
      <w:r>
        <w:t>FR: TF 1B 298/2015 du 19 octobre 2015</w:t>
      </w:r>
    </w:p>
    <w:p>
      <w:r>
        <w:t>IT: TF 1B 298/2015 del 19 ottobre 2015</w:t>
      </w:r>
    </w:p>
    <w:p>
      <w:pPr>
        <w:pStyle w:val="Heading2"/>
      </w:pPr>
      <w:r>
        <w:t>Regeste</w:t>
      </w:r>
    </w:p>
    <w:p>
      <w:r>
        <w:t>Strafverfahren; Vorladung | Strafprozess</w:t>
      </w:r>
    </w:p>
    <w:p>
      <w:pPr>
        <w:pStyle w:val="Heading2"/>
      </w:pPr>
      <w:r>
        <w:t>Erwägungen</w:t>
      </w:r>
    </w:p>
    <w:p>
      <w:r>
        <w:rPr>
          <w:b/>
        </w:rPr>
        <w:t>E. 1</w:t>
      </w:r>
    </w:p>
    <w:p>
      <w:r>
        <w:t>Eine öffentliche bundesgerichtliche Parteiverhandlung ( Art. 57 und Art. 59 Abs. 1 BGG ) findet nur ausnahmsweise statt. Die Parteien haben darauf grundsätzlich keinen Anspruch (Urteil 5A_880/2011 vom 20. Februar 2012 E. 1.5, publ. in: Pra 2012 Nr. 91 S. 606). Die vorliegende Sache ist, wie sich aus den folgenden Erwägungen ergibt, spruchreif. Für eine Parteiverhandlung besteht kein Grund. Sofern der Beschwerdeführer eine solche beantragen sollte (Beschwerde S. 7 Ziff. 3), könnte dem nicht stattgegeben werden.</w:t>
      </w:r>
    </w:p>
    <w:p>
      <w:r>
        <w:rPr>
          <w:b/>
        </w:rPr>
        <w:t>E. 2.1</w:t>
      </w:r>
    </w:p>
    <w:p>
      <w:r>
        <w:t>Der vorinstanzliche Entscheid schliesst das Strafverfahren gegen den Beschwerdeführer nicht ab. Er stellt einen Zwischenentscheid nach Art. 93 BGG dar. Dagegen ist die Beschwerde gemäss Absatz 1 dieser Bestimmung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 Der Beschwerdeführer muss, wenn das nicht offensichtlich ist, im Einzelnen darlegen, inwiefern die Voraussetzungen nach Art. 93 Abs. 1 BGG erfüllt sein sollen. Andernfalls genügt er seiner Begründungspflicht ( Art. 42 Abs. 2 BGG ) nicht und kann auf die Beschwerde nicht eingetreten werden ( BGE 137 III 324 E. 1.1 S. 329 mit Hinweisen).</w:t>
      </w:r>
    </w:p>
    <w:p>
      <w:r>
        <w:rPr>
          <w:b/>
        </w:rPr>
        <w:t>E. 2.2</w:t>
      </w:r>
    </w:p>
    <w:p>
      <w:r>
        <w:t>Die Variante nach Art. 93 Abs. 1 lit. b BGG fällt hier ausser Betracht. Nach der Rechtsprechung muss es sich im Bereich der Beschwerde in Strafsachen beim nicht wieder gutzumachenden Nachteil gemäss Art. 93 Abs. 1 lit. a BGG um einen solchen rechtlicher Natur handeln. Ein derartiger Nachteil liegt vor, wenn er auch durch einen für den Beschwerdeführer günstigen späteren Entscheid nicht mehr behoben werden kann. Ein lediglich tatsächlicher Nachteil wie die Verlängerung oder Verteuerung des Verfahrens genügt nicht ( BGE 141 III 80 E. 1.2 S. 80; 139 IV 113 E. 1 S. 115; je mit Hinweisen). Der Beschwerdeführer legt nicht dar, inwiefern ihm der angefochtene Entscheid einen nicht wieder gutzumachenden Nachteil rechtlicher Natur bewirken können soll. Dies ist auch nicht ohne Weiteres ersichtlich. Im Gegenteil ist davon auszugehen, dass ein dem Beschwerdeführer allenfalls entstandener Nachteil durch einen für ihn günstigen Endentscheid noch behoben werden könnte.</w:t>
      </w:r>
    </w:p>
    <w:p>
      <w:r>
        <w:rPr>
          <w:b/>
        </w:rPr>
        <w:t>E. 2.3</w:t>
      </w:r>
    </w:p>
    <w:p>
      <w:r>
        <w:t>Auf die Beschwerde kann demnach nicht eingetreten werden.</w:t>
      </w:r>
    </w:p>
    <w:p>
      <w:r>
        <w:rPr>
          <w:b/>
        </w:rPr>
        <w:t>E. 3</w:t>
      </w:r>
    </w:p>
    <w:p>
      <w:r>
        <w:t>Der Beschwerdeführer hat eine Familie mit mehreren Kindern, ist arbeitslos und bezieht Sozialhilfe. In Anbetracht dessen wird auf die Erhebung von Kosten verzichtet ( Art. 66 Abs. 1 Satz 2 BGG ). Das Gesuch um unentgeltliche Rechtspflege nach Art. 64 BGG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