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297/2013 vom 11. Oktober 2013</w:t>
      </w:r>
    </w:p>
    <w:p>
      <w:r>
        <w:t>Bundesgericht, 2013-10-11, DE</w:t>
      </w:r>
    </w:p>
    <w:p>
      <w:r>
        <w:rPr>
          <w:b/>
        </w:rPr>
        <w:t xml:space="preserve">Quelle: </w:t>
      </w:r>
      <w:r>
        <w:t>https://mcp.opencaselaw.ch/entscheid/bger_1B_297_2013</w:t>
      </w:r>
    </w:p>
    <w:p>
      <w:r>
        <w:t>FR: TF 1B 297/2013 du 11 octobre 2013</w:t>
      </w:r>
    </w:p>
    <w:p>
      <w:r>
        <w:t>IT: TF 1B 297/2013 del 11 ottobre 2013</w:t>
      </w:r>
    </w:p>
    <w:p>
      <w:pPr>
        <w:pStyle w:val="Heading2"/>
      </w:pPr>
      <w:r>
        <w:t>Regeste</w:t>
      </w:r>
    </w:p>
    <w:p>
      <w:r>
        <w:t>Ausstandsbegehren | Zuständigkeitsfragen, Garantie des Wohnsitzrichters und des v...</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Die II. Strafkammer des Obergerichts hat als letzte und einzige kantonale Instanz entschieden ( Art. 80 BGG i.V.m. Art. 59 Abs. 1 StPO ). Die Beschwerdeführerin ist gemäss Art. 81 Abs. 1 lit. a und lit. b Ziff. 1 BGG zur Beschwerde befugt. Die weiteren Sachurteilsvoraussetzungen geben zu keinen Bemerkungen Anlass. Auf die Beschwerde ist einzutreten.</w:t>
      </w:r>
    </w:p>
    <w:p>
      <w:r>
        <w:rPr>
          <w:b/>
        </w:rPr>
        <w:t>E. 2.1</w:t>
      </w:r>
    </w:p>
    <w:p>
      <w:r>
        <w:t>Die Beschwerdeführerin bringt vor, die beiden Privatkläger seien am 13. Februar 2012 von der Staatsanwaltschaft einvernommen worden. Die Staatsanwaltschaft habe es aber unterlassen, diese mit ihrer Darstellung des Sachverhalts zu konfrontieren. Das wäre aber notwendig gewesen, zumal sie selbst die Vorwürfe von Anfang an glaubwürdig und konsequent von sich gewiesen habe. Auch im Gerichtsverfahren sei die Konfrontation nicht nachgeholt worden. Die Abweisung ihres Beweisantrags verletze unter diesen Umständen Art. 9 BV und Art. 389 StPO . Auch der Antrag auf ein weiteres Gutachten hätte gutgeheissen werden müssen. Das bestehende Gutachten sei zu einem Zeitpunkt erstellt worden, als noch kein konkretisierter Tatvorwurf vorlag. Indem der Gutachter unter diesen Umständen und mit minimaler Begründung zum Schluss gekommen sei, sie leide an einer schweren paranoiden Schizophrenie, habe er gegen grundlegende ärztliche Sorgfaltspflichten verstossen. Der verantwortliche Oberarzt der Psychiatrischen Klinik Münsterlingen, der einen umfassenden Einblick in ihr Leben und Verhalten gewinnen konnte, habe in seinem Verlaufsbericht vom 26. April 2013 denn auch festgehalten, dass sich in seiner Klinik zu keinem Zeitpunkt die typischen Symptome einer paranoiden Schizophrenie gezeigt hätten. Auch insofern sei die Beweisgrundlage somit unvollständig. Die Beschwerdeführerin macht weiter eine Verletzung der Begründungspflicht geltend. Die Vorinstanz sei nicht auf ihre Argumente eingegangen, sondern habe pauschal auf die Verwertbarkeit der Einvernahme vom 13. Februar 2012 bzw. auf den Umstand verwiesen, es liege bereits eine Fülle aktueller medizinischer Unterlagen vor.</w:t>
      </w:r>
    </w:p>
    <w:p>
      <w:r>
        <w:rPr>
          <w:b/>
        </w:rPr>
        <w:t>E. 2.2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Ziff. 1 EMRK . Danach hat jede Person Anspruch darauf, dass ihre Sache von einem unparteiischen, unvoreingenommenen und unbefangenen Richter unter Einschluss weiterer am Entscheid wesentlich beteiligter Gerichtspersonen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137 I 227 E. 2.1 S. 229 mit Hinweisen). Bei der Anwendung von Art. 56 lit. f StPO ist entscheidendes Kriterium, ob bei objektiver Betrachtungsweise der Ausgang des Verfahrens noch als offen erscheint (Urteil 1B_11/2013 vom 11. März 2013 E. 2 mit Hinweis).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objektiv keinen Anschein der Befangenheit (Urteil 1B_11/2013 vom 11. März 2013 E. 2; BGE 115 Ia 400 E. 3b S. 404; je mit Hinweisen).</w:t>
      </w:r>
    </w:p>
    <w:p>
      <w:r>
        <w:rPr>
          <w:b/>
        </w:rPr>
        <w:t>E. 2.3</w:t>
      </w:r>
    </w:p>
    <w:p>
      <w:r>
        <w:t>Die Vorinstanz hat dargelegt, es gebe keine Anzeichen der Befangenheit. Es könne keine Rede davon sein, dass Beweisanträge offensichtlich zu Unrecht abgewiesen worden seien. Einerseits seien die beiden Privatkläger in der Untersuchung in Anwesenheit der Beschuldigten und ihrer damaligen Anwältin formell als Auskunftspersonen befragt worden, wobei die Beschuldigte jeweils Gelegenheit gehabt habe, Ergänzungsfragen zu stellen. Andererseits lägen ein 28-seitiges psychiatrisches Gutachten vom 20. Februar 2012, zwei Verlaufsberichte der Psychiatrischen Klinik Münsterlingen vom 14. Juni 2012 und vom 26. April 2013 sowie eine aktuelle Einschätzung des Gutachters vom 16. Mai 2013 bei den Akten. Damit bestehe eine ganze Fülle aktueller medizinischer Unterlagen, wobei insbesondere aufgrund der jüngsten Ausführungen des Gutachters das Einholen weiterer Berichte bzw. Gutachten nicht angezeigt erscheine.</w:t>
      </w:r>
    </w:p>
    <w:p>
      <w:r>
        <w:rPr>
          <w:b/>
        </w:rPr>
        <w:t>E. 2.4</w:t>
      </w:r>
    </w:p>
    <w:p>
      <w:r>
        <w:t>Nach dem Gesagten geht es im vorliegenden Verfahren nicht darum, die Zweckmässigkeit richterlicher Beweismassnahmen zu prüfen. Mögliche Verletzungen der Strafprozessordnung sind nur insoweit von Bedeutung, als sie besonders krass sind und wiederholt auftreten, sodass sie einer schweren Amtspflichtverletzung gleichkommen und sich einseitig zulasten einer der Prozessparteien auswirken. Dies ist im vorliegenden Fall zu verneinen. Nach den Ausführungen der Vorinstanz hatte die Beschwerdeführerin Gelegenheit, an die Privatkläger Ergänzungsfragen zu stellen und konnte mithin direkt auf allfällige Unstimmigkeiten aufmerksam machen. Sie selbst weist zudem darauf hin, dass sie anlässlich der Berufungsverhandlung vom 16. Mai 2013 Gelegenheit hatte, die Darstellung der Privatkläger zu bestreiten. Inwiefern unter diesen Voraussetzungen ihre Verteidigungsrechte beschnitten worden sein sollten, weil eine zusätzliche Konfrontationseinvernahme abgelehnt wurde, ist nicht ersichtlich. Dasselbe gilt für den Antrag auf ein zusätzliches psychiatrisches Gutachten. Allein der Umstand, dass das Gutachten vom 20. Februar 2012 vor Abschluss der Untersuchung erstellt wurde und mithin spätere Untersuchungsergebnisse nicht berücksichtigen konnte, stellt seine Qualität nicht in Frage. Zudem geht aus dem Gutachten hervor, dass der Gutachter die Tatvorwürfe als solche verstand und nicht etwa bereits als bewiesen annahm. Sein Befund ist auf mehreren Seiten einlässlich begründet. Schliesslich befindet sich der Verlaufsbericht der Psychiatrischen Klinik Münsterlingen vom 26. April 2013, auf den sich die Beschwerdeführerin beruft, ebenfalls bei den Akten. Beide Aktenstücke unterliegen der freien richterlichen Beweiswürdigung ( Art. 10 Abs. 2 StPO ). Ob die II. Strafkammer des Obergerichts unter Würdigung all dieser Umstände nach Art. 389 Abs. 3 StPO trotzdem gehalten gewesen wäre, ein weiteres Gutachten anzufordern, ist hier nicht abschliessend zu entscheiden. Jedenfalls sind keine schweren und wiederholten Verfahrensfehler ersichtlich, welche sich einseitig zu Lasten der Beschwerdeführerin ausgewirkt hätten. Die Rüge der Verletzung der Ausstandspflicht ist somit unbegründet.</w:t>
      </w:r>
    </w:p>
    <w:p>
      <w:r>
        <w:rPr>
          <w:b/>
        </w:rPr>
        <w:t>E. 2.5</w:t>
      </w:r>
    </w:p>
    <w:p>
      <w:r>
        <w:t>Ungerechtfertigt ist auch der Vorwurf der Verletzung des rechtlichen Gehörs ( Art. 29 Abs. 2 BV ). Die Vorinstanz hat ihren Entscheid hinreichend begründet. Sie hat dargelegt, weshalb sie davon ausging, dass die Beschwerdeführerin ihre Verteidigungsrechte auch ohne eine weitere Konfrontationseinvernahme wahren konnte und weshalb angesichts ausreichender Unterlagen zu ihrem Gesundheitszustand vom Einholen eines zusätzlichen Gutachtens abgesehen werden konnte. Das rechtliche Gehör verlangt nicht, dass sich die Behörde mit allen Parteistandpunkten einlässlich auseinandersetzt und jedes einzelne Vorbringen ausdrücklich widerlegt. Vielmehr kann sie sich auf die für den Entscheid wesentlichen Punkte beschränken. Die Beschwerdeführerin war offensichtlich in der Lage, sich über die Tragweite des vorinstanzlichen Entscheids Rechenschaft zu geben und ihn in voller Kenntnis der Sache weiterzuziehen (vgl. BGE 136 I 229 E. 5.2 S. 236 mit Hinweisen).</w:t>
      </w:r>
    </w:p>
    <w:p>
      <w:r>
        <w:rPr>
          <w:b/>
        </w:rPr>
        <w:t>E. 3</w:t>
      </w:r>
    </w:p>
    <w:p>
      <w:r>
        <w:t>Die Beschwerde ist aus den genannten Gründen abzuweisen. Die Beschwerdeführerin ersucht um unentgeltliche Prozessführung und Rechtsverbeiständung. Trotz geringer Erfolgsaussichten der Beschwerde ist es gerechtfertigt, dem Gesuch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