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296/2016 vom 12. August 2016</w:t>
      </w:r>
    </w:p>
    <w:p>
      <w:r>
        <w:t>Bundesgericht, 2016-08-12, DE</w:t>
      </w:r>
    </w:p>
    <w:p>
      <w:r>
        <w:rPr>
          <w:b/>
        </w:rPr>
        <w:t xml:space="preserve">Quelle: </w:t>
      </w:r>
      <w:r>
        <w:t>https://mcp.opencaselaw.ch/entscheid/bger_1B_296_2016</w:t>
      </w:r>
    </w:p>
    <w:p>
      <w:r>
        <w:t>FR: TF 1B 296/2016 du 12 août 2016</w:t>
      </w:r>
    </w:p>
    <w:p>
      <w:r>
        <w:t>IT: TF 1B 296/2016 del 12 agosto 2016</w:t>
      </w:r>
    </w:p>
    <w:p>
      <w:pPr>
        <w:pStyle w:val="Heading2"/>
      </w:pPr>
      <w:r>
        <w:t>Regeste</w:t>
      </w:r>
    </w:p>
    <w:p>
      <w:r>
        <w:t>Strafverfahren; Bestellung der amtlichen Verteidigung | Strafprozess</w:t>
      </w:r>
    </w:p>
    <w:p>
      <w:pPr>
        <w:pStyle w:val="Heading2"/>
      </w:pPr>
      <w:r>
        <w:t>Erwägungen</w:t>
      </w:r>
    </w:p>
    <w:p>
      <w:r>
        <w:rPr>
          <w:b/>
        </w:rPr>
        <w:t>E. 1</w:t>
      </w:r>
    </w:p>
    <w:p>
      <w:r>
        <w:t>Die Staatsanwaltschaft Basel-Landschaft bestellte A.________ mit Verfügung vom 18. April 2016 Advokat B.________ als amtlichen Verteidiger mit Wirkung ab dem 18. April 2016 in dem gegen ihn geführten Strafverfahren wegen Drohung usw. Dagegen erhob A.________ mit Eingabe vom 22. April 2016 Beschwerde. Das Kantonsgericht Basel-Landschaft wies die Beschwerde mit Beschluss vom 7. Juni 2016 ab.</w:t>
      </w:r>
    </w:p>
    <w:p>
      <w:r>
        <w:rPr>
          <w:b/>
        </w:rPr>
        <w:t>E. 2</w:t>
      </w:r>
    </w:p>
    <w:p>
      <w:r>
        <w:t>A.________ führt mit Eingabe vom 8. August 2016 Beschwerde in Strafsachen gegen den Beschluss des Kantonsgerichts Basel-Landschaft vom 7. Juli 2016.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kritisiert die Bestellung des amtlichen Verteidigers ganz allgemein und unterlässt es, sich mit der Begründung des Kantonsgerichts, die zur Abweisung der Beschwerde führte, im Einzelnen auseinanderzusetzen. Er zeigt nicht auf, inwiefern die Begründung des Kantonsgerichts bzw. dessen Beschluss selbst im Ergebnis rechts- bzw. verfassungswidrig sein soll. Soweit der Beschwerdeführer im Übrigen geltend macht, er hätte am 20. Juli 2016 einen Verteidiger seiner Wahl bestimmt, handelt es sich um eine neue Tatsache, welche der Beurteilung des Kantonsgericht nicht zugrunde lag. Diese neue Tatsache ist unzulässig, zumal nicht erst der Entscheid des Kantonsgerichts dazu Anlass gab (vgl. Art 99 Abs. 1 BGG ).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