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294/2023 vom 2. Juni 2023</w:t>
      </w:r>
    </w:p>
    <w:p>
      <w:r>
        <w:t>Bundesgericht, 2023-06-02, DE</w:t>
      </w:r>
    </w:p>
    <w:p>
      <w:r>
        <w:rPr>
          <w:b/>
        </w:rPr>
        <w:t xml:space="preserve">Quelle: </w:t>
      </w:r>
      <w:r>
        <w:t>https://mcp.opencaselaw.ch/entscheid/bger_1B_294_2023</w:t>
      </w:r>
    </w:p>
    <w:p>
      <w:r>
        <w:t>FR: TF 1B 294/2023 du 2 juin 2023</w:t>
      </w:r>
    </w:p>
    <w:p>
      <w:r>
        <w:t>IT: TF 1B 294/2023 del 2 giugno 2023</w:t>
      </w:r>
    </w:p>
    <w:p>
      <w:pPr>
        <w:pStyle w:val="Heading2"/>
      </w:pPr>
      <w:r>
        <w:t>Regeste</w:t>
      </w:r>
    </w:p>
    <w:p>
      <w:r>
        <w:t>Gesuch um Bestellung eines unentgeltlichen Rechtsbeistand; Berufungserklärung | Strafrecht (allgemein)</w:t>
      </w:r>
    </w:p>
    <w:p>
      <w:pPr>
        <w:pStyle w:val="Heading2"/>
      </w:pPr>
      <w:r>
        <w:t>Erwägungen</w:t>
      </w:r>
    </w:p>
    <w:p>
      <w:r>
        <w:rPr>
          <w:b/>
        </w:rPr>
        <w:t>E. 1</w:t>
      </w:r>
    </w:p>
    <w:p>
      <w:r>
        <w:t>A.________ erklärte gegen den Entscheid des Bezirksgerichts Kreuzlingen vom 28. März 2023 in Sachen Entwendung eines Motorfahrzeuges zum Gebrauch die Berufung und ersuchte gleichzeitig um Bestellung eines unentgeltlichen Rechtsbeistandes. Das Obergericht des Kantons Thurgau wies mit Verfügung vom 4. Mai 2023 das Gesuch um Bestellung eines unentgeltlichen Rechtsbeistandes ab. Zur Begründung führte es zusammenfassend aus, dass der Berufungskläger entsprechend dem Antrag der Staatsanwaltschaft mit einer Busse von Fr. 200.-- bestraft worden sei. Es liege somit ein Bagatellfall im Sinne von Art. 132 StPO vor, weshalb kein Anspruch auf amtliche Verteidigung bestehe.</w:t>
      </w:r>
    </w:p>
    <w:p>
      <w:r>
        <w:rPr>
          <w:b/>
        </w:rPr>
        <w:t>E. 2</w:t>
      </w:r>
    </w:p>
    <w:p>
      <w:r>
        <w:t>A.________ führt mit Eingabe vom 31. Mai 2023 Beschwerde in Strafsachen gegen die Verfügung des Obergerichts des Kantons Thurgau vom 4. Mai 2023.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Das Obergericht des Kantons Thurgau legte in ihrer Begründung die Voraussetzungen einer amtlichen Verteidigung gemäss Art. 132 StPO dar und führte aus, weshalb der Beschwerdeführer diese nicht zu erfüllen vermöge. Mit diesen Ausführungen setzt sich der Beschwerdeführer nicht auseinander und zeigt nicht im Einzelnen und konkret auf, inwiefern die Begründung des Obergerichts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