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294/2022 vom 23. Juni 2022</w:t>
      </w:r>
    </w:p>
    <w:p>
      <w:r>
        <w:t>Bundesgericht, 2022-06-23, DE</w:t>
      </w:r>
    </w:p>
    <w:p>
      <w:r>
        <w:rPr>
          <w:b/>
        </w:rPr>
        <w:t xml:space="preserve">Quelle: </w:t>
      </w:r>
      <w:r>
        <w:t>https://mcp.opencaselaw.ch/entscheid/bger_1B_294_2022</w:t>
      </w:r>
    </w:p>
    <w:p>
      <w:r>
        <w:t>FR: TF 1B 294/2022 du 23 juin 2022</w:t>
      </w:r>
    </w:p>
    <w:p>
      <w:r>
        <w:t>IT: TF 1B 294/2022 del 23 giugno 2022</w:t>
      </w:r>
    </w:p>
    <w:p>
      <w:pPr>
        <w:pStyle w:val="Heading2"/>
      </w:pPr>
      <w:r>
        <w:t>Regeste</w:t>
      </w:r>
    </w:p>
    <w:p>
      <w:r>
        <w:t>Strafverfahren; Verfahrenvereinigung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Staatsanwaltschaft Sursee führt gegen A.________ und B.________ Strafuntersuchungen wegen Widerhandlungen gegen die Verordnung über die Beförderung gefährlicher Güter auf der Strasse. Am 25. Februar 2022 lehnte die Staatsanwaltschaft den Antrag von A.________ ab, die Verfahren zu vereinigen. Am 5. Mai 2022 wies das Kantonsgericht Luzern die von A.________ gegen diese Verfügung der Staatsanwaltschaft erhobene Beschwerde ab, soweit es darauf eintrat. Mit Beschwerde vom 9. Juni 2022 beantragt A.________ u.a., diesen Beschluss des Kantonsgerichts aufzuheben. Vernehmlassungen wurden keine eingeholt.</w:t>
      </w:r>
    </w:p>
    <w:p>
      <w:r>
        <w:rPr>
          <w:b/>
        </w:rPr>
        <w:t>E. 2.1</w:t>
      </w:r>
    </w:p>
    <w:p>
      <w:r>
        <w:t>Angefochten ist ein kantonal letztinstanzlicher Entscheid, mit dem das Kantonsgericht eine die Vereinigung von zwei Strafverfahren ablehnende Verfügung der Staatsanwaltschaft geschützt hat; dagegen ist die Beschwerde in Strafsachen zulässig ( Art. 78 Abs. 1, Art. 80 BGG ). Er schliesst das Verfahren indessen nicht ab; es handelt sich mithin um einen Zwischenentscheid, gegen den die Beschwerde zulässig ist, wenn er einen nicht wieder gutzumachenden Nachteil rechtlicher Natur ( BGE 133 IV 139 E. 4) bewirken könnte ( Art. 93 Abs. 1 lit. a BGG ) oder wenn die Gutheissung der Beschwerde sofort einen Endentscheid herbeiführen und damit einen bedeutenden Aufwand an Zeit oder Kosten für ein weitläufiges Beweisverfahren ersparen würde ( Art. 93 Abs. 1 lit. b BGG ). Die zweite Voraussetzung fällt vorliegend ausser Betracht. Nach Art. 42 Abs. 2 BGG hat der Beschwerdeführer darzulegen, dass die Sachurteilsvoraussetzungen erfüllt sind; bei der Anfechtung von Zwischenentscheiden hat er die Tatsachen anzuführen, aus denen sich der nicht wiedergutzumachende Nachteil ergeben soll, sofern dies nicht offensichtlich ist ( BGE 138 III 46 E. 1.2 S. 47; zum Ganzen: BGE 141 IV 284 E. 2.3 S. 287; 289 E. 1.3 S. 292).</w:t>
      </w:r>
    </w:p>
    <w:p>
      <w:r>
        <w:rPr>
          <w:b/>
        </w:rPr>
        <w:t>E. 2.2</w:t>
      </w:r>
    </w:p>
    <w:p>
      <w:r>
        <w:t>Der Beschwerdeführer begründet mit keinem Wort, inwiefern der Beschluss des Kantonsgerichts unter dem Gesichtspunkt von Art. 93 Abs. 1 BGG anfechtbar sein soll, und das ist auch nicht offensichtlich. Auf die Beschwerde ist im vereinfachten Verfahren nicht einzutreten. Bei diesem Ausgang des Verfahrens sind die Gerichtskosten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