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1B_293/2017 vom 12. Juli 2017</w:t>
      </w:r>
    </w:p>
    <w:p>
      <w:r>
        <w:t>Bundesgericht, 2017-07-12, DE</w:t>
      </w:r>
    </w:p>
    <w:p>
      <w:r>
        <w:rPr>
          <w:b/>
        </w:rPr>
        <w:t xml:space="preserve">Quelle: </w:t>
      </w:r>
      <w:r>
        <w:t>https://mcp.opencaselaw.ch/entscheid/bger_1B_293_2017</w:t>
      </w:r>
    </w:p>
    <w:p>
      <w:r>
        <w:t>FR: TF 1B_293/2017 du 12 juillet 2017</w:t>
      </w:r>
    </w:p>
    <w:p>
      <w:r>
        <w:t>IT: TF 1B_293/2017 del 12 luglio 2017</w:t>
      </w:r>
    </w:p>
    <w:p>
      <w:pPr>
        <w:pStyle w:val="Heading2"/>
      </w:pPr>
      <w:r>
        <w:t>Erwägungen</w:t>
      </w:r>
    </w:p>
    <w:p>
      <w:r>
        <w:rPr>
          <w:b/>
        </w:rPr>
        <w:t>E. 1</w:t>
      </w:r>
    </w:p>
    <w:p>
      <w:r>
        <w:t>Das Kreisgericht Wil sprach A.________ mit Entscheid vom 5. Mai 2017 der versuchten Gewalt und Drohung gegen Beamte schuldig und verurteilte ihn zu einer unbedingten Freiheitsstrafe von 15 Monaten, unter Anrechnung der Untersuchungs- und Sicherheitshaft von 277 Tagen. Ausserdem widerrief das Kreisgericht eine am 29. August 2014 bedingt ausgesprochene Geldstrafe und ordnete eine stationäre therapeutische Massnahme an. Dagegen gelangte A.________ mit Berufungserklärung vom 21. Juni 2017 an das Kantonsgericht St. Gallen.</w:t>
      </w:r>
    </w:p>
    <w:p>
      <w:r>
        <w:rPr>
          <w:b/>
        </w:rPr>
        <w:t>E. 2</w:t>
      </w:r>
    </w:p>
    <w:p>
      <w:r>
        <w:t>Mit Eingaben vom 26. Juni 2017 und 4. Juli 2017 ersuchte A.________ um Entlassung aus der Sicherheitshaft. Der Präsident der Strafkammer des Kantonsgerichts St. Gallen trat mit Entscheid vom 10. Juli 2017 auf das Gesuch um Entlassung aus der Sicherheitshaft nicht ein und ordnete an, dass A.________ bis und mit 5. August 2017 kein Haftentlassungsgesuch mehr stellen könne. Zur Begründung führte er zusammenfassend aus, dass A.________ gegen die mit Entscheid des Kreisgerichts vom 5. Mai 2017 verlängerte Sicherheitshaft Beschwerde bei der Anklagekammer erhoben habe. Während des hängigen Verfahrens vor der Anklagekammer habe A.________ bei der Anklagekammer sowie anderen Stellen weitere Haftentlassungsgesuche gestellt. Am 22. Juni 2017 habe die Anklagekammer die Haft bis längstens 5. August 2017 verlängert. Noch vor Zustellung dieses Entscheides habe A.________ das vorliegende Haftentlassungsgesuch gestellt. Bereits im vorinstanzlichen Verfahren habe A.________ während laufender Sperrfristen mehrfach Haftentlassungsgesuche gestellt. Das vorliegende Haftentlassungsgesuch erweise sich als rechtsmissbräuchlich, weshalb nicht darauf einzutreten sei. Im Übrigen hätte sich seit dem Entscheid der Anklagekammer vom 22. Juni 2017 nichts Wesentliches verändert. Vielmehr bestehe nach wie vor dringender Tatverdacht sowie Ausführungs- und Fortsetzungsgefahr. Selbst wenn auf das Haftentlassungsgesuch eingetreten werden könnte, wäre es abzuweisen.</w:t>
      </w:r>
    </w:p>
    <w:p>
      <w:r>
        <w:rPr>
          <w:b/>
        </w:rPr>
        <w:t>E. 3</w:t>
      </w:r>
    </w:p>
    <w:p>
      <w:r>
        <w:t>A.________ führt mit Eingabe vom 11. Juli 2017 Beschwerde in Strafsachen gegen den Entscheid des Kantonsgerichts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des Kantonsgerichts, die zum Nichteintreten auf das Haftentlassungsgesuch führten, nicht auseinander und legt mit seinen nicht sachbezogenen Ausführungen nicht ansatzweise dar, inwiefern der angefochtene Entscheid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