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1B_292/2016 vom 15. August 2016</w:t>
      </w:r>
    </w:p>
    <w:p>
      <w:r>
        <w:t>Bundesgericht, 2016-08-15, DE</w:t>
      </w:r>
    </w:p>
    <w:p>
      <w:r>
        <w:rPr>
          <w:b/>
        </w:rPr>
        <w:t xml:space="preserve">Quelle: </w:t>
      </w:r>
      <w:r>
        <w:t>https://mcp.opencaselaw.ch/entscheid/bger_1B_292_2016</w:t>
      </w:r>
    </w:p>
    <w:p>
      <w:r>
        <w:t>FR: TF 1B_292/2016 du 15 août 2016</w:t>
      </w:r>
    </w:p>
    <w:p>
      <w:r>
        <w:t>IT: TF 1B_292/2016 del 15 agosto 2016</w:t>
      </w:r>
    </w:p>
    <w:p>
      <w:pPr>
        <w:pStyle w:val="Heading2"/>
      </w:pPr>
      <w:r>
        <w:t>Erwägungen</w:t>
      </w:r>
    </w:p>
    <w:p>
      <w:r>
        <w:rPr>
          <w:b/>
        </w:rPr>
        <w:t>E. 1</w:t>
      </w:r>
    </w:p>
    <w:p>
      <w:r>
        <w:t>Die zuständige Staatsanwältin der Staatsanwaltschaft des Kantons Solothurn eröffnete am 28. Juni 2016 gegen A.________ eine Untersuchung wegen versuchter schwerer Körperverletzung, einfacher Körperverletzung und mehrfacher Gewalt und Drohung gegen Behörden und Beamte. Am 29. Juni 2016 stellte sie dem Haftgericht den Antrag auf Anordnung von Untersuchungshaft. Mit Verfügung vom 30. Juni 2016 hiess das Haftgericht den Haftantrag gut und ordnete für die Dauer von drei Monaten bis am 29. September 2016 Untersuchungshaft an. Mit Eingabe vom 14. Juli 2016 erhob der mit Verfügung vom 28. Juni 2016 eingesetzte amtliche Verteidiger von A.________ Beschwerde gegen die Anordnung der Untersuchungshaft. Die Beschwerdekammer des Obergerichts des Kantons Solothurn wies mit Urteil vom 27. Juli 2016 die Beschwerde ab und auferlegte A.________ die Kosten des Beschwerdeverfahrens von Fr. 800.--. Die Beschwerdekammer bejahte den dringenden Tatverdacht bezüglich der einfachen Körperverletzung und der mehrfachen Gewalt und Drohung gegen Behörden und Beamte und ging von Wiederholungs- bzw. Fortsetzungsgefahr aus. Im Weiteren erachtete sie die Untersuchungshaft als verhältnismässig.</w:t>
      </w:r>
    </w:p>
    <w:p>
      <w:r>
        <w:rPr>
          <w:b/>
        </w:rPr>
        <w:t>E. 2</w:t>
      </w:r>
    </w:p>
    <w:p>
      <w:r>
        <w:t>Am 29. Juli 2016 reichte A.________ beim Obergericht des Kantons Solothurn eine als "Berufung" bezeichnete Eingabe ein und beantragte die vollständige Aufhebung des Urteils der Beschwerdekammer. Mit Schreiben vom 8. August 2016 überwies die Strafkammer des Obergerichts des Kantons Solothurn die Eingabe von A.________ dem Bundesgericht zur weiteren Behandlung.</w:t>
      </w:r>
    </w:p>
    <w:p>
      <w:r>
        <w:t>Das Bundesgericht hat davon abgesehen, Stellungnahmen zur Beschwerde einzuholen.</w:t>
      </w:r>
    </w:p>
    <w:p>
      <w:r>
        <w:rPr>
          <w:b/>
        </w:rPr>
        <w:t>E. 3</w:t>
      </w:r>
    </w:p>
    <w:p>
      <w:r>
        <w:t>Streitgegenstand ist vorliegend die angeordnete Untersuchungshaft. Soweit der Beschwerdeführer die Einsetzung seines amtlichen Verteidigers beanstandet und dessen Entlassung beantragt, liegen diese Begehren ausserhalb des Streitgegenstandes und sind unzulässig.</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den Ausführungen, welche die Beschwerdekammer zu den Haftgründen gemacht hatte, überhaupt nicht auseinander. Er legt nicht dar, inwiefern die Bejahung der Haftvoraussetzungen rechts- bzw. verfassungswidrig sein soll. Soweit der Beschwerdeführer die Auferlegung der Kosten des Beschwerdeverfahrens beanstandet, vermag er mit seinem Hinweis, er habe den amtlichen Anwalt nicht mit der Einreichung eines Haftentlassungsgesuchs beauftragt, dieser habe vielmehr gegen seinen Willen gehandelt, ebenfalls nicht aufzuzeigen, inwiefern die beanstandete Kostenauflage rechts- bzw. verfassungswidrig sein soll. Der Beschwerdeführer zeigt nicht auf, inwiefern die Begründung der Beschwerdekammer bzw. deren Urteil selbst rechts- bzw. verfassungswidrig sein soll.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