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291/2018 vom 25. Juni 2018</w:t>
      </w:r>
    </w:p>
    <w:p>
      <w:r>
        <w:t>Bundesgericht, 2018-06-25, DE</w:t>
      </w:r>
    </w:p>
    <w:p>
      <w:r>
        <w:rPr>
          <w:b/>
        </w:rPr>
        <w:t xml:space="preserve">Quelle: </w:t>
      </w:r>
      <w:r>
        <w:t>https://mcp.opencaselaw.ch/entscheid/bger_1B_291_2018</w:t>
      </w:r>
    </w:p>
    <w:p>
      <w:r>
        <w:t>FR: TF 1B 291/2018 du 25 juin 2018</w:t>
      </w:r>
    </w:p>
    <w:p>
      <w:r>
        <w:t>IT: TF 1B 291/2018 del 25 giugno 2018</w:t>
      </w:r>
    </w:p>
    <w:p>
      <w:pPr>
        <w:pStyle w:val="Heading2"/>
      </w:pPr>
      <w:r>
        <w:t>Regeste</w:t>
      </w:r>
    </w:p>
    <w:p>
      <w:r>
        <w:t>Verlängerung Untersuchungshaft | Strafprozess</w:t>
      </w:r>
    </w:p>
    <w:p>
      <w:pPr>
        <w:pStyle w:val="Heading2"/>
      </w:pPr>
      <w:r>
        <w:t>Erwägungen</w:t>
      </w:r>
    </w:p>
    <w:p>
      <w:r>
        <w:rPr>
          <w:b/>
        </w:rPr>
        <w:t>E. 1</w:t>
      </w:r>
    </w:p>
    <w:p>
      <w:r>
        <w:t>Das Zwangsmassnahmengericht Basel-Landschaft verlängerte mit Entscheid vom 14. März 2018 die Untersuchungshaft gegenüber A.________ vorläufig für die Dauer von drei Monaten bis zum 12. Juni 2018. Dagegen erhob A.________ Beschwerde, welche das Kantonsgericht Basel-Landschaft mit Beschluss vom 15. Mai 2018 abwies. Das Kantonsgericht führte zur Begründung zusammenfassend aus, dass ein dringender Tatverdacht bezüglich 15 Einbruchdiebstählen vorliege und der besondere Haftgrund der Fluchtgefahr zu bejahen sei. Auch erweise sich die Untersuchungshaft als verhältnismässig.</w:t>
      </w:r>
    </w:p>
    <w:p>
      <w:r>
        <w:rPr>
          <w:b/>
        </w:rPr>
        <w:t>E. 2</w:t>
      </w:r>
    </w:p>
    <w:p>
      <w:r>
        <w:t>A.________ reichte am 6. Juni 2018 beim Bundesstrafgericht eine in albanischer Sprache abgefasste Beschwerde gegen den Beschluss des Kantonsgerichts Basel-Landschaft ein. Das Bundesstrafgericht überwies die Eingabe mit Schreiben vom 6. Juni 2018 dem Bundesgericht. Mit Verfügung vom 7. Juni 2018 forderte das Bundesgericht A.________ auf, eine in einer Amtssprache verfasste Beschwerde einzureichen, ansonsten auf die Beschwerde nicht eingetreten werde. Mit Schreiben vom 14. Juni 2018 zog der Rechtsvertreter von A.________ die Beschwerde gegen den Beschluss des Kantonsgerichts Basel-Landschaft zurück. Mit Eingabe vom 16. Juni 2018 reichte A.________ eine in deutscher Sprache abgefasste Beschwerde ein, mit welcher er sinngemäss um Entlassung aus der Untersuchungshaft ersuchte. Das Bundesgericht verzichtet auf die Einholung von Vernehmlassungen.</w:t>
      </w:r>
    </w:p>
    <w:p>
      <w:r>
        <w:rPr>
          <w:b/>
        </w:rPr>
        <w:t>E. 3</w:t>
      </w:r>
    </w:p>
    <w:p>
      <w:r>
        <w:t>Ob die Beschwerde mit der Rückzugserklärung vom 14. Juni 2018 erledigt wurde, kann vorliegend offen bleiben, da die Eingabe vom 16. Juni 2018, wie sich nachfolgend zeigen wird, den Formerfordernissen von Art. 42 Abs. 2 BGG nicht zu genügen vermag.</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der keinen zulässigen Beschwerdegrund nennt, vermag mit der Darstellung seiner Sicht nicht aufzuzeigen, inwiefern die Begründung des Kantonsgerichts, die zur Abweisung der Beschwerde führte,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