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1B_291/2007 vom 28. November 2008</w:t>
      </w:r>
    </w:p>
    <w:p>
      <w:r>
        <w:t>Bundesgericht, 2008-11-28, IT</w:t>
      </w:r>
    </w:p>
    <w:p>
      <w:r>
        <w:rPr>
          <w:b/>
        </w:rPr>
        <w:t xml:space="preserve">Quelle: </w:t>
      </w:r>
      <w:r>
        <w:t>https://mcp.opencaselaw.ch/entscheid/bger_1B_291_2007</w:t>
      </w:r>
    </w:p>
    <w:p>
      <w:r>
        <w:t>FR: TF 1B_291/2007 du 28 novembre 2008</w:t>
      </w:r>
    </w:p>
    <w:p>
      <w:r>
        <w:t>IT: TF 1B_291/2007 del 28 novembre 2008</w:t>
      </w:r>
    </w:p>
    <w:p>
      <w:pPr>
        <w:pStyle w:val="Heading2"/>
      </w:pPr>
      <w:r>
        <w:t>Erwägungen</w:t>
      </w:r>
    </w:p>
    <w:p>
      <w:r>
        <w:rPr>
          <w:b/>
        </w:rPr>
        <w:t>E. 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Riguardo ai singoli incarti oggetto della decisione in esame, la I CRP ha stabilito quanto segue:</w:t>
      </w:r>
    </w:p>
    <w:p>
      <w:r>
        <w:t>S374: questo incarto contiene estratti e avvisi di addebito e di accredito relativi a un conto postale per l'anno 1999. Secondo l'istanza precedente, l'anonimizzazione di centinaia di nomi di terzi figuranti in tali atti costituirebbe un lavoro sproporzionato: ha pertanto versato agli atti soltanto gli estratti al 31 dicembre 1997 (recte: 1999), decidendo di restituire gli altri documenti agli opponenti.</w:t>
      </w:r>
    </w:p>
    <w:p>
      <w:r>
        <w:t>Questa generica argomentazione, per i motivi suesposti, non regge. Anche questi documenti devono pertanto, di massima, essere versati agli atti in forma integrale, ricordato inoltre che solo sulla base degli estratti intermediari, nei quali sono indicate semmai le causali delle singole transazioni o altre informazioni, la ricorrente potrà ricostruire compiutamente i flussi di denaro confluiti nella sostanza e nei redditi imponibili degli opponenti.</w:t>
      </w:r>
    </w:p>
    <w:p>
      <w:r>
        <w:t>S375: l'incarto concerne il libro di cassa e le pezze giustificative del 1999. Poiché nel primo documento figurano in gran numero nomi di terzi, la loro anonimizzazione, secondo la I CRP, sarebbe sproporzionata. Tutti i documenti sono caratterizzati da una referenza a una rubrica contabile, di modo che si può presumere, sempre secondo l'istanza precedente, che gli stessi sarebbero stati correttamente contabilizzati. Essa ha aggiunto che il loro interesse per l'inchiesta sarebbe esiguo, per cui ha deciso di restituirli agli opponenti. Le pezze giustificative concernono in gran parte spese generali, senza la menzione di nomi di clienti: la cernita e l'anonimizzazione di quelle contenenti nomi di clienti potenzialmente protetti dal segreto professionale rappresenterebbe tuttavia un lavoro considerevole e sproporzionato, per cui la I CRP ha deciso di versarle agli atti alle condizioni espresse in altri casi analoghi.</w:t>
      </w:r>
    </w:p>
    <w:p>
      <w:r>
        <w:t>Anche questa tesi, sbrigativa, fondata su un criterio meramente quantitativo e sul fatto che si sarebbe in presenza di documenti soggetti al segreto professionale, senza tuttavia effettivamente procedere al relativo esame, non può essere condivisa, a maggior ragione visto che, di massima, non si è più in presenza di un segreto professionale tutelabile. Spetterà inoltre all'AFC esaminare tutti i documenti per verificare se, effettivamente, i conti dello studio legale sono completi riguardo ai redditi conseguiti e a quelli dichiarati. Per i motivi suesposti, i documenti, che non sembrano d'altra parte inutili per le necessarie verifiche perseguite con l'inchiesta, devono essere versati agli atti, di massima, in forma non anonimizzata.</w:t>
      </w:r>
    </w:p>
    <w:p>
      <w:r>
        <w:t>S382/S383/S385/S386: questi incarti si compongono di centinaia di pagine di listati contabili relativi al 1999. La loro anonimizzazione sarebbe, secondo la I CRP, totalmente sproporzionata e la loro utilità per l'inchiesta esigua, visto che i bilanci e i conti economici, già versati agli atti, riportano i medesimi risultati: essa ha quindi deciso, eccezione fatta per i bilanci e i conti economici contenuti negli incarti S385 e S386, di restituirli agli opponenti.</w:t>
      </w:r>
    </w:p>
    <w:p>
      <w:r>
        <w:t>La tesi, sbrigativa, fondata su un criterio meramente quantitativo non può essere seguita. D'altra parte, l'utilità di questi documenti per l'inchiesta, anche se esigua, non può comunque essere negata e spetterà alla ricorrente effettuare tutte le verifiche ch'essa riterrà necessarie. Ne segue che anche questi listati devono essere versati agli atti, di massima, in forma non anonimizzata.</w:t>
      </w:r>
    </w:p>
    <w:p>
      <w:r>
        <w:t>S387: l'incarto contiene centinaia di note di onorario saldate nel 1999. L'anonimizzazione di questi atti rappresenterebbe, secondo la I CRP, un lavoro sproporzionato, per cui ha stabilito di versare agli atti solo quelle fatture che riguardano prestazioni manifestamente atipiche.</w:t>
      </w:r>
    </w:p>
    <w:p>
      <w:r>
        <w:t>Come si è visto, l'argomento della mole di lavoro non è determinante e, inoltre, la tutela del segreto professionale è di massima esclusa in concreto. Di conseguenza, anche le note di onorario, decisive per l'inchiesta, devono essere versate agli atti, in principio in forma non anonimizzata.</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