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290/2014 vom 1. September 2014</w:t>
      </w:r>
    </w:p>
    <w:p>
      <w:r>
        <w:t>Bundesgericht, 2014-09-01, IT</w:t>
      </w:r>
    </w:p>
    <w:p>
      <w:r>
        <w:rPr>
          <w:b/>
        </w:rPr>
        <w:t xml:space="preserve">Quelle: </w:t>
      </w:r>
      <w:r>
        <w:t>https://mcp.opencaselaw.ch/entscheid/bger_1B_290_2014</w:t>
      </w:r>
    </w:p>
    <w:p>
      <w:r>
        <w:t>FR: TF 1B 290/2014 du 1 septembre 2014</w:t>
      </w:r>
    </w:p>
    <w:p>
      <w:r>
        <w:t>IT: TF 1B 290/2014 del 1 settembre 2014</w:t>
      </w:r>
    </w:p>
    <w:p>
      <w:pPr>
        <w:pStyle w:val="Heading2"/>
      </w:pPr>
      <w:r>
        <w:t>Regeste</w:t>
      </w:r>
    </w:p>
    <w:p>
      <w:r>
        <w:t>procedimento penale | Procedura penale</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Il giudizio impugnato costituisce una decisione resa in materia penale, ai sensi dell' art. 78 cpv. 1 LTF . Il ricorso in materia penale è di massima dato contro una decisione emanata dall'autorità cantonale di ultima istanza ( art. 80 cpv. 1 LTF ). La legittimazione del ricorrente è pacifica (art. 81 cpv. 1 lett. a e lett. b n. 1 LTF).</w:t>
      </w:r>
    </w:p>
    <w:p>
      <w:r>
        <w:rPr>
          <w:b/>
        </w:rPr>
        <w:t>E. 1.3</w:t>
      </w:r>
    </w:p>
    <w:p>
      <w:r>
        <w:t>La criticata sentenza non pone fine alla vertenza e costituisce quindi una decisione incidentale impugnabile alle condizioni poste dall' art. 93 LTF ( DTF 139 IV 113 consid. 1 pag. 115). Eccettuati i casi disciplinati dall' art. 92 LTF , il ricorso contro siffatte decisioni, notificate separatamente, è ammissibile unicamente se possono causare un pregiudizio irreparabile ( art. 93 cpv. 1 lett. a LTF ) o quando l'accoglimento del ricorso comporterebbe immediatamente una decisione finale consentendo di evitare una procedura probatoria defatigante o dispendiosa (lett. b). L'adempimento di questi requisiti dev'essere di principio dimostrato dal ricorrente, a meno che non sia manifesto ( DTF 138 III 46 consid. 1.2; 136 IV 92 consid. 4). Ora, il ricorrente non si esprime del tutto al riguardo, limitandosi a criticare il merito del contestato giudizio. Il ricorso è pertanto inammissibile, ricordato che, secondo la sua giurisprudenza, nell'ambito di procedimenti penali la nozione di pregiudizio irreparabile dev'essere interpretata restrittivamente per evitare che il Tribunale federale debba occuparsi più volte della medesima procedura ( DTF 139 IV 113 consid. 1 pag. 115; 134 IV 43 consid. 2.1 pag. 44). Un pregiudizio è irreparabile quando è suscettibile di provocare un danno di natura giuridica, che nemmeno una decisione favorevole nel merito permetterebbe di eliminare completamente, segnatamente con il giudizio finale: semplici pregiudizi di fatto, come il prolungamento della procedura o un suo conseguente maggior costo, non rappresentano un siffatto danno ( DTF 133 IV 288 consid. 3.2, 139 consid. 4).</w:t>
      </w:r>
    </w:p>
    <w:p>
      <w:r>
        <w:rPr>
          <w:b/>
        </w:rPr>
        <w:t>E. 1.4</w:t>
      </w:r>
    </w:p>
    <w:p>
      <w:r>
        <w:t>Certo, come rettamente ritenuto dai giudici cantonali, di massima una parte ha diritto di partecipare all'interrogatorio di coimputati, testimoni e persone informate sui fatti ( DTF 139 IV 25 consid. 4 e 5). In concreto la CRP ha tuttavia stabilito che il ricorrente, in applicazione dell' art. 147 cpv. 3 CPP , istanza che prevale sul reclamo, avrebbe dovuto dapprima chiedere tempestivamente al PP, come peraltro da questi già rilevato, la ripetizione delle prove litigiose alle quali il ricorrente o il suo patrocinatore non avrebbero potuto partecipare. Solo un eventuale diniego da parte del magistrato inquirente avrebbe potuto essere oggetto di un susseguente reclamo dinanzi alla CRP. Sempre secondo i giudici cantonali, anche la domanda di annullare gli interrogatori già esperiti dev'essere presentata in primo luogo al PP. In siffatte circostanze, un pregiudizio irreparabile non è ravvisabile, ricordato che la questione della legalità degli interrogatori litigiosi non dev'essere del resto decisa in maniera definitiva prima della chiusura della procedura (sentenza 1B_61/2012 del 9 febbraio 2012 consid. 2).</w:t>
      </w:r>
    </w:p>
    <w:p>
      <w:r>
        <w:rPr>
          <w:b/>
        </w:rPr>
        <w:t>E. 1.5</w:t>
      </w:r>
    </w:p>
    <w:p>
      <w:r>
        <w:t>Per di più, il ricorrente, contrariamente al suo obbligo di motivazione, non si confronta minimamente con la predetta argomentazione posta a fondamento del giudizio impugnato. Il ricorso sarebbe pertanto inammissibile anche per carenza di motivazione ( art. 42 cpv. 2 LTF ; DTF 138 I 171 consid. 1.4 pag. 176; 136 I 49 consid. 1.4.1 pag. 53).</w:t>
      </w:r>
    </w:p>
    <w:p>
      <w:r>
        <w:rPr>
          <w:b/>
        </w:rPr>
        <w:t>E. 2</w:t>
      </w:r>
    </w:p>
    <w:p>
      <w:r>
        <w:t>Il ricorso, inammissibile, non può pertanto essere esaminato nel merito.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