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290/2011 vom 11. August 2011</w:t>
      </w:r>
    </w:p>
    <w:p>
      <w:r>
        <w:t>Bundesgericht, 2011-08-11, FR</w:t>
      </w:r>
    </w:p>
    <w:p>
      <w:r>
        <w:rPr>
          <w:b/>
        </w:rPr>
        <w:t xml:space="preserve">Quelle: </w:t>
      </w:r>
      <w:r>
        <w:t>https://mcp.opencaselaw.ch/entscheid/bger_1B_290_2011</w:t>
      </w:r>
    </w:p>
    <w:p>
      <w:r>
        <w:t>FR: TF 1B 290/2011 du 11 août 2011</w:t>
      </w:r>
    </w:p>
    <w:p>
      <w:r>
        <w:t>IT: TF 1B 290/2011 del 11 agosto 2011</w:t>
      </w:r>
    </w:p>
    <w:p>
      <w:pPr>
        <w:pStyle w:val="Heading2"/>
      </w:pPr>
      <w:r>
        <w:t>Regeste</w:t>
      </w:r>
    </w:p>
    <w:p>
      <w:r>
        <w:t>procédure pénale, non-entrée en matière | Procédure pénale</w:t>
      </w:r>
    </w:p>
    <w:p>
      <w:pPr>
        <w:pStyle w:val="Heading2"/>
      </w:pPr>
      <w:r>
        <w:t>Erwägungen</w:t>
      </w:r>
    </w:p>
    <w:p>
      <w:r>
        <w:rPr>
          <w:b/>
        </w:rPr>
        <w:t>E. 1</w:t>
      </w:r>
    </w:p>
    <w:p>
      <w:r>
        <w:t>La décision attaquée a été rendue en matière pénale au sens de l' art. 78 LTF . Elle a un caractère final ( art. 90 LTF ) et émane de l'autorité cantonale de dernière instance ( art. 80 LTF ). Les recourants ont agi en temps utile ( art. 100 al. 1 LTF ).</w:t>
      </w:r>
    </w:p>
    <w:p>
      <w:r>
        <w:rPr>
          <w:b/>
        </w:rPr>
        <w:t>E. 1.1</w:t>
      </w:r>
    </w:p>
    <w:p>
      <w:r>
        <w:t>L'arrêt attaqué ayant été rendu le 6 mai 2011, la qualité pour recourir s'examine au regard de l' art. 81 LTF dans sa teneur en vigueur au 1er janvier 2011 ( art. 132 al. 1 LTF ).</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1.1.2</w:t>
      </w:r>
    </w:p>
    <w:p>
      <w:r>
        <w:t>Selon l' art. 42 al. 1 LTF , le mémoire de recours doit contenir les motifs à l'appui des conclusions présentées, sous peine d'irrecevabilité. Il incombe donc notamment au recourant d'alléguer les faits qu'il considère comme propres à fonder sa qualité pour recourir lorsque ces faits ne ressortent pas à l'évidence de la décision attaquée ou du dossier de la cause (cf. ATF 133 II 353 consid. 1 p. 356, 249 consid. 1.1 p. 251). Lorsque, comme en l'espèce, le recours est dirigé contre une décision de refus d'ouvrir l'action pénale, il n'est pas nécessaire que la partie plaignante ait déjà pris des conclusions civiles. En revanche, elle doit expliquer dans son mémoire, sous peine d'irrecevabilité,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127 IV 185 consid. 1a p. 187).</w:t>
      </w:r>
    </w:p>
    <w:p>
      <w:r>
        <w:rPr>
          <w:b/>
        </w:rPr>
        <w:t>E. 1.1.3</w:t>
      </w:r>
    </w:p>
    <w:p>
      <w:r>
        <w:t>Les recourants ne se prononcent pas du tout sur cette question. Ils se contentent d'évoquer leur qualité de recourants en instance cantonale et estiment qu'ils auraient un intérêt juridique évident à la modification de la décision attaquée. Ils perdent toutefois de vue que le recours formé par le plaignant est soumis à des conditions plus spécifiques, soit l'existence d'effets sur des prétentions civiles. Or, ils ne précisent nullement en quoi ces prétentions pourraient consister, ni en quoi la décision de ne pas ouvrir l'action pénale pourrait influencer négativement un jugement sur ce point. On ne voit pas non plus d'emblée et sans ambiguïté quelles prétentions civiles seraient susceptibles d'être invoquées dans le cas particulier. Il s'ensuit que le recours est irrecevable en tant qu'il porte sur le fond de la cause.</w:t>
      </w:r>
    </w:p>
    <w:p>
      <w:r>
        <w:rPr>
          <w:b/>
        </w:rPr>
        <w:t>E. 1.2</w:t>
      </w:r>
    </w:p>
    <w:p>
      <w:r>
        <w:t>Selon la jurisprudence, le plaignant qui n'a pas la qualité pour recourir sur le fond peut en revanche se plaindre d'une violation de droits que la loi de procédure applicable ou le droit constitutionnel lui reconnaît comme partie à la procédure, lorsque cette violation équivaut à un déni de justice formel, pour autant qu'il ne s'agisse pas de moyens liés au fond ( ATF 136 IV 41 consid. 1.4 p. 44, 29 consid. 1.9 p. 40; 133 IV 228 consid. 2.3.2 p. 232 s. et les références citées). Les recourants sont donc légitimés à se plaindre d'une violation de l' art. 56 CPP et des règles relatives à la récusation.</w:t>
      </w:r>
    </w:p>
    <w:p>
      <w:r>
        <w:rPr>
          <w:b/>
        </w:rPr>
        <w:t>E. 2</w:t>
      </w:r>
    </w:p>
    <w:p>
      <w:r>
        <w:t>Les recourants reprochent en effet au Procureur général de ne pas s'être récusé alors qu'il avait soutenu l'accusation dans le procès des agresseurs et qu'il pourrait, à ce titre, être appelé à témoigner dans la procédure pour diffamation. La recevabilité de ce grief (soulevé dans le cadre d'un recours ordinaire, et non dans le délai de 5 jours applicable en matière de récusation) a été laissée indécise par la cour cantonale; elle peut l'être également à ce stade.</w:t>
      </w:r>
    </w:p>
    <w:p>
      <w:r>
        <w:rPr>
          <w:b/>
        </w:rPr>
        <w:t>E. 2.1</w:t>
      </w:r>
    </w:p>
    <w:p>
      <w:r>
        <w:t>La garantie d'un tribunal indépendant et impartial instituée par les art. 30 al. 1 Cst. et 6 par. 1 CEDH permet d'exiger la récusation d'un juge dont la situation ou le comportement est de nature à faire naître un doute sur son impartialité (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136 III 605 consid. 3.2.1 p. 608; 134 I 20 consid. 4.2 p. 21; 131 I 24 consid. 1.1 p. 25; 127 I 196 consid. 2b p. 198). Les motifs de récusation mentionnés à l' art. 56 CPP concrétisent ces garanties. Ils imposent notamment la récusation d'un magistrat lorsqu'il a agi à un autre titre dans la même cause, en particulier comme membre d'une autorité, conseil juridique d'une partie, expert ou témoin (let. b) ou lorsque d'autres motifs, notamment un rapport d'amitié étroit ou d'inimitié avec une partie ou son conseil, sont de nature à le rendre suspect de prévention (let. f). Cette dernière disposition a la portée d'une clause générale.</w:t>
      </w:r>
    </w:p>
    <w:p>
      <w:r>
        <w:rPr>
          <w:b/>
        </w:rPr>
        <w:t>E. 2.2</w:t>
      </w:r>
    </w:p>
    <w:p>
      <w:r>
        <w:t>Le fait que le magistrat a déjà participé à l'affaire, à un autre titre et à un stade antérieur de la procédure, peut éveiller le soupçon de partialité. La jurisprudence a renoncé à résoudre une fois pour toutes et de manière générale la question de savoir si, et quelles interventions successives peuvent contrevenir aux art. 30 al. 1 Cst. et 6 par. 1 CEDH (cf. ATF 114 Ia 50 consid. 3d p. 57 ss et les arrêts cités). Elle exige cependant que l'issue de la cause demeure indécise quant à la constatation des faits et à la résolution des questions juridiques. Il faut en particulier examiner les fonctions procédurales que le magistrat a été appelé à exercer lors de son intervention précédente, prendre en compte les questions successives à trancher à chaque stade de la procédure, et mettre en évidence leur éventuelle analogie ou leur interdépendance ( ATF 116 Ia 135 consid. 3b p. 139 et les arrêts cités; cf. aussi: ATF 126 I 168 consid. 2a p. 169). L' art. 56 let. b CPP doit être interprété dans le même sens.</w:t>
      </w:r>
    </w:p>
    <w:p>
      <w:r>
        <w:rPr>
          <w:b/>
        </w:rPr>
        <w:t>E. 2.3</w:t>
      </w:r>
    </w:p>
    <w:p>
      <w:r>
        <w:t>En l'occurrence, le Procureur général a soutenu l'accusation dans le cadre du procès concernant les auteurs de l'agression survenue au café A.________. Il s'agit d'une cause portant sur une infraction distincte, et dont les parties sont différentes. L' art. 56 let. b CPP n'est dès lors pas applicable. Le Procureur qui a soutenu l'accusation contre les agresseurs, devait s'interroger dans la présente cause sur le caractère diffamatoire d'un article de presse, et non sur la réalité de l'agression. Comme le relève la cour cantonale, les propos relatés par le journaliste ne concernent pas les déclarations faites en audience par l'avocat de la victime, de sorte que l'on ne voit pas en quoi un témoignage du Procureur pourrait être envisagé sur ce point. Les recourants ne l'ont d'ailleurs par formellement requis. La participation du Procureur à la précédente procédure ne l'empêchait donc pas de statuer en toute impartialité sur la plainte en diffamation des recourants. Le grief doit être écarté.</w:t>
      </w:r>
    </w:p>
    <w:p>
      <w:r>
        <w:rPr>
          <w:b/>
        </w:rPr>
        <w:t>E. 3</w:t>
      </w:r>
    </w:p>
    <w:p>
      <w:r>
        <w:t>Sur le vu de ce qui précède, le recours est rejeté, dans la mesure où il est recevable. Conformément à l' art. 66 al. 1 LTF , les frais judiciaires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