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1B_28/2013 vom 28. Mai 2013</w:t>
      </w:r>
    </w:p>
    <w:p>
      <w:r>
        <w:t>Bundesgericht, 2013-05-28, DE</w:t>
      </w:r>
    </w:p>
    <w:p>
      <w:r>
        <w:rPr>
          <w:b/>
        </w:rPr>
        <w:t xml:space="preserve">Quelle: </w:t>
      </w:r>
      <w:r>
        <w:t>https://mcp.opencaselaw.ch/entscheid/bger_1B_28_2013</w:t>
      </w:r>
    </w:p>
    <w:p>
      <w:r>
        <w:t>FR: TF 1B_28/2013 du 28 mai 2013</w:t>
      </w:r>
    </w:p>
    <w:p>
      <w:r>
        <w:t>IT: TF 1B_28/2013 del 28 maggio 2013</w:t>
      </w:r>
    </w:p>
    <w:p>
      <w:pPr>
        <w:pStyle w:val="Heading2"/>
      </w:pPr>
      <w:r>
        <w:t>Erwägungen</w:t>
      </w:r>
    </w:p>
    <w:p>
      <w:r>
        <w:rPr>
          <w:b/>
        </w:rPr>
        <w:t>E. 1</w:t>
      </w:r>
    </w:p>
    <w:p>
      <w:r>
        <w:t>Gegen den angefochtenen Entscheid ist gemäss Art. 78 Abs. 1 BGG die Beschwerde in Strafsachen gegeben.</w:t>
      </w:r>
    </w:p>
    <w:p>
      <w:r>
        <w:t>Ein kantonales Rechtsmittel steht nicht zur Verfügung. Die Beschwerde ist daher nach Art. 80 BGG zulässig.</w:t>
      </w:r>
    </w:p>
    <w:p>
      <w:r>
        <w:t>Der Beschwerdeführer ist nach Art. 81 Abs. 1 BGG zur Beschwerde berechtigt (Urteile 1B_705/2011 vom 9. Mai 2012 E. 2.2; 1B_436/2011 vom 21. September 2011 E. 1, publ. in: Pra 2012 Nr. 16 S. 100; je mit Hinweisen).</w:t>
      </w:r>
    </w:p>
    <w:p>
      <w:r>
        <w:t>Der angefochtene Entscheid stellt einen Zwischenentscheid dar, der dem Beschwerdeführer einen nicht wieder gutzumachenden Nachteil im Sinne von Art. 93 Abs. 1 lit. a BGG bewirken kann ( BGE 133 IV 335 E. 4 S. 338; Urteil 1B_436/2011 vom 21. September 2011 E. 1, publ. in: Pra 2012 Nr. 16 S. 100). Die Beschwerde ist auch insoweit zulässig.</w:t>
      </w:r>
    </w:p>
    <w:p>
      <w:r>
        <w:t>Die weiteren Sachurteilsvoraussetzungen geben zu keinen Bemerkungen Anlass. Auf die Beschwerde ist einzutreten.</w:t>
      </w:r>
    </w:p>
    <w:p>
      <w:r>
        <w:rPr>
          <w:b/>
        </w:rPr>
        <w:t>E. 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Die Voraussetzungen der unentgeltlichen Rechtspflege für die Privatklägerschaft im Strafverfahren konkretisiert Art. 136 StPO (Urteil 1B_355/2012 vom 12. Oktober 2012 E. 3, publ. in: Pra 2013 Nr. 1 S. 1). Danach gewährt die Verfahrensleitung der Privatklägerschaft für die Durchsetzung ihrer Zivilansprüche ganz oder teilweise die unentgeltliche Rechtspflege, wenn: a. die Privatklägerschaft nicht über die erforderlichen Mittel verfügt; und b. die Zivilklage nicht aussichtslos erscheint (Abs. 1). Die unentgeltliche Rechtspflege umfasst: a. die Befreiung von Vorschuss- und Sicherheitsleistungen; b. die Befreiung von den Verfahrenskosten; c. die Bestellung eines Rechtsbeistandes, wenn dies zur Wahrung der Rechte der Privatklägerschaft notwendig ist (Abs. 2).</w:t>
      </w:r>
    </w:p>
    <w:p>
      <w:r>
        <w:t>Als aussichtslos sind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 BGE 138 III 217 E. 2.2.4 mit Hinweis).</w:t>
      </w:r>
    </w:p>
    <w:p>
      <w:r>
        <w:rPr>
          <w:b/>
        </w:rPr>
        <w:t>E. 2.2.1</w:t>
      </w:r>
    </w:p>
    <w:p>
      <w:r>
        <w:t>Z.________ kann sich nicht erinnern, das Wort "Idiot" gebraucht zu haben. Der Beschwerdeführer hat die Auseinandersetzung mit einer Videokamera aufgenommen.</w:t>
      </w:r>
    </w:p>
    <w:p>
      <w:r>
        <w:t>Die Vorinstanz legt dar, der Beschwerdeführer habe die Aufnahme ohne das Einverständnis von Z.________ erstellt. Sie nimmt in Würdigung der Aussagen an, dass der Beschwerdeführer die Aufnahme im Bereich unmittelbar vor der Wohnung bzw. dem Haus von Z.________ gemacht hat (angefochtener Entscheid E. 2.4 S. 3).</w:t>
      </w:r>
    </w:p>
    <w:p>
      <w:r>
        <w:t>Dabei handelt es sich um Sachverhaltsfeststellungen. Dass diese offensichtlich unrichtig wären oder auf einer Rechtsverletzung nach Art. 95 BGG - insbesondere einer Missachtung des rechtlichen Gehörs - beruhten, macht der Beschwerdeführer nicht hinreichend substanziiert geltend (zu den Begründungsanforderungen insoweit BGE 133 II 249 E. 1.4.2 f. S. 254 f.). Im Gegenteil räumt er ein, dass sich die Auseinandersetzung "vor dem Haus" von Z.________ abgespielt hat (Beschwerde S. 12 Ziff. 11.3.3). Die vorinstanzlichen Sachverhaltsfeststellungen sind für das Bundesgericht daher verbindlich ( Art. 105 Abs. 1 und 2 BGG ).</w:t>
      </w:r>
    </w:p>
    <w:p>
      <w:r>
        <w:rPr>
          <w:b/>
        </w:rPr>
        <w:t>E. 2.2.2</w:t>
      </w:r>
    </w:p>
    <w:p>
      <w:r>
        <w:t>Gemäss Art. 179</w:t>
      </w:r>
    </w:p>
    <w:p>
      <w:r>
        <w:t>quater StGB wird bestraft, wer eine Tatsache aus dem Geheimbereich eines andern oder eine nicht jedermann ohne Weiteres zugängliche Tatsache aus dem Privatbereich eines andern ohne dessen Einwilligung mit einem Aufnahmegerät beobachtet oder auf einen Bildträger aufnimmt.</w:t>
      </w:r>
    </w:p>
    <w:p>
      <w:r>
        <w:t>Nach der Rechtsprechung ist durch diese Bestimmung auch der unmittelbar an ein Wohnhaus angrenzende Bereich geschützt. Zum Privatbereich gehört nicht nur, was sich im Haus selbst, sondern auch, was sich in dessen unmittelbarer Umgebung abspielt. Hierzu gehört insbesondere auch der Bereich unmittelbar vor der Haustüre eines Wohnhauses. Der Hausbewohner, der vor die Haustüre tritt, um beispielsweise einen dort abgestellten Gegenstand oder die Post zu holen, verbleibt in der durch Art. 179</w:t>
      </w:r>
    </w:p>
    <w:p>
      <w:r>
        <w:t>quater StGB geschützten Privatsphäre. Dasselbe gilt für den Hausbewohner, der vor seine Haustüre tritt, um jemanden zu begrüssen bzw. zu empfangen ( BGE 118 IV 41 E. 4e S. 50).</w:t>
      </w:r>
    </w:p>
    <w:p>
      <w:r>
        <w:t>Mit Blick auf diese Rechtsprechung bestehen erhebliche Anhaltspunkte dafür, dass der Beschwerdeführer die Aufnahme rechtswidrig erstellt hat.</w:t>
      </w:r>
    </w:p>
    <w:p>
      <w:r>
        <w:rPr>
          <w:b/>
        </w:rPr>
        <w:t>E. 2.2.3</w:t>
      </w:r>
    </w:p>
    <w:p>
      <w:r>
        <w:t>Nach der bundesgerichtlichen Rechtsprechung sind von Privaten rechtswidrig erlangte Beweismittel nur verwertbar, wenn sie von den Strafverfolgungsbehörden hätten erlangt werden können und überdies eine Interessenabwägung für die Verwertung spricht (Urteil 1B_22/2012 vom 11. März 2012 E. 2.4.4 mit Hinweisen).</w:t>
      </w:r>
    </w:p>
    <w:p>
      <w:r>
        <w:t>Im vorliegenden Fall ist schwer ersichtlich, wie die Strafverfolgungsbehörden die Videoaufnahme selber hätten erlangen können, da zum Zeitpunkt ihrer Erstellung gegen Z.________ kein dringender Tatverdacht vorlag (vgl. Art. 197 Abs. 1 lit. b i.V.m. Art. 280 StPO ). Der Fall ist insoweit vergleichbar mit jenem, über den das Bundesgericht im Urteil 1B_22/2012 vom 11. März 2012 zu befinden hatte. Dort verneinte es die Verwertbarkeit einer Videoaufnahme (E. 2.4.4).</w:t>
      </w:r>
    </w:p>
    <w:p>
      <w:r>
        <w:t>Es bestehen somit erhebliche Zweifel an der Verwertbarkeit auch der vom Beschwerdeführer erstellten Videoaufnahme. Andere Beweismittel fehlen.</w:t>
      </w:r>
    </w:p>
    <w:p>
      <w:r>
        <w:t>Wenn die Vorinstanz unter diesen Umständen bei einer vorläufigen und summarischen Prüfung die Erfolgsaussichten der Beschwerde bzw. Zivilklage als wesentlich geringer eingestuft hat als die Verlustgefahren, verletzt das kein Bundesrecht.</w:t>
      </w:r>
    </w:p>
    <w:p>
      <w:r>
        <w:rPr>
          <w:b/>
        </w:rPr>
        <w:t>E. 3</w:t>
      </w:r>
    </w:p>
    <w:p>
      <w:r>
        <w:t>Die Beschwerde ist abzuweisen.</w:t>
      </w:r>
    </w:p>
    <w:p>
      <w:r>
        <w:t>Da sie aussichtslos war, kann die unentgeltliche Rechtspflege und Verbeiständung nach Art. 64 BGG nicht bewilligt werden. Mit Blick auf die finanziellen Verhältnisse des Beschwerdeführers rechtfertigt es sich jedoch,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