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1B_285/2007 vom 27. November 2008</w:t>
      </w:r>
    </w:p>
    <w:p>
      <w:r>
        <w:t>Bundesgericht, 2008-11-27, IT</w:t>
      </w:r>
    </w:p>
    <w:p>
      <w:r>
        <w:rPr>
          <w:b/>
        </w:rPr>
        <w:t xml:space="preserve">Quelle: </w:t>
      </w:r>
      <w:r>
        <w:t>https://mcp.opencaselaw.ch/entscheid/bger_1B_285_2007</w:t>
      </w:r>
    </w:p>
    <w:p>
      <w:r>
        <w:t>FR: TF 1B_285/2007 du 27 novembre 2008</w:t>
      </w:r>
    </w:p>
    <w:p>
      <w:r>
        <w:t>IT: TF 1B_285/2007 del 27 novembre 2008</w:t>
      </w:r>
    </w:p>
    <w:p>
      <w:pPr>
        <w:pStyle w:val="Heading2"/>
      </w:pPr>
      <w:r>
        <w:t>Erwägungen</w:t>
      </w:r>
    </w:p>
    <w:p>
      <w:r>
        <w:rPr>
          <w:b/>
        </w:rPr>
        <w:t>E. 1.1</w:t>
      </w:r>
    </w:p>
    <w:p>
      <w:r>
        <w:t>Come già stabilito dal Tribunale federale (sentenza 1B_288/2007 del 30 settembre 2008 consid. 1.2), la domanda ricorsuale di congiungere le differenti cause dev'essere respinta, a maggior ragione visto che le motivazioni dei vari ricorsi sono differenti.</w:t>
      </w:r>
    </w:p>
    <w:p>
      <w:r>
        <w:rPr>
          <w:b/>
        </w:rPr>
        <w:t>E. 1.2</w:t>
      </w:r>
    </w:p>
    <w:p>
      <w:r>
        <w:t>L'ammissibilità del gravame è pacifica. La legittimazione della ricorrente è stata ammessa nella citata sentenza del 30 settembre 2008 (consid. 1.4).</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(consid. 3 e 4).</w:t>
      </w:r>
    </w:p>
    <w:p>
      <w:r>
        <w:rPr>
          <w:b/>
        </w:rPr>
        <w:t>E. 3</w:t>
      </w:r>
    </w:p>
    <w:p>
      <w:r>
        <w:t>Riguardo all'analisi della documentazione in esame, la ricorrente rileva di non contestare, sebbene nell'ambito di altri ricorsi abbia contestato fattispecie analoghe, la decisione impugnata per quanto attiene agli incarti S318 e 7309. Per quanto concerne gli altri incarti, l'istanza precedente ha rilevato quanto segue:</w:t>
      </w:r>
    </w:p>
    <w:p>
      <w:r>
        <w:t>S321/S322: gli incarti contengono centinaia di note d'onorario saldate nel 1994, la cui anonimizzazione, secondo la I CRP, rappresenterebbe un lavoro sproporzionato. Essa ha quindi deciso di versare agli atti solo le fatture che riguardano prestazioni manifestamente atipiche.</w:t>
      </w:r>
    </w:p>
    <w:p>
      <w:r>
        <w:t>L'argomento della mole di lavoro non è decisivo e, inoltre, la tutela del segreto professionale è di massima esclusa nella fattispecie, per cui anche le note di onorario, decisive per l'inchiesta, devono essere versate agli atti, in principio in forma non anonimizzata.</w:t>
      </w:r>
    </w:p>
    <w:p>
      <w:r>
        <w:t>S325 (parziale): l'incarto si compone di 16 documenti, tra i quali alcune note d'onorario. Secondo la I CRP, l'anonimizzazione di atti nei quali figurano nomi di clienti potenzialmente protetti dal segreto professionale è "ragionevolmente" possibile, per cui li ha versati agli atti oscurandone i nomi e restituito gli originali agli opponenti.</w:t>
      </w:r>
    </w:p>
    <w:p>
      <w:r>
        <w:t>Anche per questi incarti valgono le considerazioni appena espresse.</w:t>
      </w:r>
    </w:p>
    <w:p>
      <w:r>
        <w:t>S349/S359: gli incarti contengono centinaia di pagine di listati contabili del 1994 e parzialmente del 1995, la cui anonimizzazione sarebbe sproporzionata e la loro utilità per l'inchiesta esigua, visto che i bilanci e i conti economici, già versati agli atti, riportano i medesimi risultati. La I CRP ne ha quindi deciso la restituzione agli opponenti.</w:t>
      </w:r>
    </w:p>
    <w:p>
      <w:r>
        <w:t>La tesi, sbrigativa, fondata su un criterio meramente quantitativo non può essere avallata. L'utilità dei documenti per l'inchiesta è comunque data e spetterà alla ricorrente effettuare tutte le verifiche necessarie. I listati devono pertanto essere versati agli atti, di massima in forma non anonimizzata.</w:t>
      </w:r>
    </w:p>
    <w:p>
      <w:r>
        <w:t>S440 (parziale): l'incarto contiene quattro piccoli classificatori con avvisi e giustificativi di un conto postale per l'anno 1994. Poiché l'anonimizzazione di centinaia di documenti sarebbe sproporzionata, ritenuto il loro esiguo interesse per l'inchiesta, l'istanza precedente l'ha restituito agli opponenti.</w:t>
      </w:r>
    </w:p>
    <w:p>
      <w:r>
        <w:t>Anche per questi atti valgono le conclusioni appena citate.</w:t>
      </w:r>
    </w:p>
    <w:p>
      <w:r>
        <w:t>7307: si tratta del libro cassa per l'anno 1994, nel quale figurano molti nomi di terzi, la cui anonimizzazione sarebbe sproporzionata. Tutti i movimenti sono caratterizzati da una referenza a una rubrica contabile, per cui, secondo la I CRP, si può presumere che gli stessi siano stati correttamente contabilizzati. Ritenuto il loro esiguo interesse per l'inchiesta, essa ne ha deciso la restituzione agli opponenti.</w:t>
      </w:r>
    </w:p>
    <w:p>
      <w:r>
        <w:t>Anche in questo caso è nella facoltà della ricorrente verificare compiutamente se le operazioni siano o no state correttamente contabilizzate sotto il profilo dei redditi imponibili.</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