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1B_284/2016 vom 24. August 2016</w:t>
      </w:r>
    </w:p>
    <w:p>
      <w:r>
        <w:t>Bundesgericht, 2016-08-24, DE</w:t>
      </w:r>
    </w:p>
    <w:p>
      <w:r>
        <w:rPr>
          <w:b/>
        </w:rPr>
        <w:t xml:space="preserve">Quelle: </w:t>
      </w:r>
      <w:r>
        <w:t>https://mcp.opencaselaw.ch/entscheid/bger_1B_284_2016</w:t>
      </w:r>
    </w:p>
    <w:p>
      <w:r>
        <w:t>FR: TF 1B_284/2016 du 24 août 2016</w:t>
      </w:r>
    </w:p>
    <w:p>
      <w:r>
        <w:t>IT: TF 1B_284/2016 del 24 agosto 2016</w:t>
      </w:r>
    </w:p>
    <w:p>
      <w:pPr>
        <w:pStyle w:val="Heading2"/>
      </w:pPr>
      <w:r>
        <w:t>Erwägungen</w:t>
      </w:r>
    </w:p>
    <w:p>
      <w:r>
        <w:rPr>
          <w:b/>
        </w:rPr>
        <w:t>E. 1</w:t>
      </w:r>
    </w:p>
    <w:p>
      <w:r>
        <w:t>Angefochten ist ein kantonal letztinstanzlicher Entscheid in einer Strafsache. Dagegen steht die Beschwerde in Strafsachen offen ( Art. 78 Abs. 1, Art. 80 BGG ). Der Beschwerdeführer machte im vorinstanzlichen Verfahren unter anderem geltend, die aus dem Mobilitelefon extrahierten Daten enthielten persönliche Aufzeichnungen. Damit ist ein nicht wieder gutzumachender Nachteil im Sinne von Art. 93 Abs. 1 lit. a BGG hinreichend dargetan ( Art. 264 Abs. 1 lit. b StPO ; Urteile 1B_273/2015 vom 21. Januar 2016 E. 1; 1B_595/2011 vom 21. März 2012 E. 1, in: Pra 2012 Nr. 69 S. 467; je mit Hinweisen). Der Beschwerdeführer ist zur Beschwerde berechtigt ( Art. 81 Abs. 1 BGG ). Auf sein Rechtsmittel ist einzutreten.</w:t>
      </w:r>
    </w:p>
    <w:p>
      <w:r>
        <w:rPr>
          <w:b/>
        </w:rPr>
        <w:t>E. 2.1</w:t>
      </w:r>
    </w:p>
    <w:p>
      <w:r>
        <w:t>Der Beschwerdeführer macht eine Verletzung seines Anspruchs auf rechtliches Gehör geltend. Die Staatsanwaltschaft habe im vorinstanzlichen Verfahren mit Eingabe vom 13. Juni 2016 ausführlich Stellung genommen. Dazu hätte er sich äussern wollen. Das Zwangsmassnahmengericht habe ihm jedoch keine Gelegenheit gegeben. Die Stellungnahme der Staatsanwaltschaft habe sie ihm erst mit dem Entscheid zugestellt.</w:t>
      </w:r>
    </w:p>
    <w:p>
      <w:r>
        <w:rPr>
          <w:b/>
        </w:rPr>
        <w:t>E. 2.2</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und nicht des Gerichts zu beurteilen, ob eine neue Eingabe oder ein neues Beweismittel Bemerkungen erfordert. Die Wahrnehmung des Replikrechts setzt voraus, dass die fragliche Eingabe der Partei vor Erlass des Urteils zugestellt wird, damit sie sich darüber schlüssig werden kann, ob sie sich dazu äussern will. In diesem Sinne ist der Prozesspartei die konkrete Möglichkeit zur Replik einzuräumen (zum Ganzen: BGE 138 I 484 E. 2.1 S. 485 f. ; 137 I 195 E. 2.3.1 S. 197; je mit Hinweisen).</w:t>
      </w:r>
    </w:p>
    <w:p>
      <w:r>
        <w:rPr>
          <w:b/>
        </w:rPr>
        <w:t>E. 2.3</w:t>
      </w:r>
    </w:p>
    <w:p>
      <w:r>
        <w:t>Die Stellungnahme der Staatsanwaltschaft vom 13. Juni 2016, in welcher sich diese eingehend mit den Vorbringen des Beschwerdeführers auseinandersetzte, wurde dem Beschwerdeführer erst zusammen mit dem angefochtenen Entscheid zugestellt. Eine Möglichkeit, sich vor der Entscheidfällung durch das Zwangsmassnahmengericht zu äussern, erhielt er nicht. Mit diesem Vorgehen verletzte das Zwangsmassnahmengericht den Anspruch des Beschwerdeführers auf rechtliches Gehör und ein faires Gerichtsverfahren.</w:t>
      </w:r>
    </w:p>
    <w:p>
      <w:r>
        <w:t>Die Heilung dieses Verfahrensmangels im bundesgerichtlichen Verfahren fällt ausser Betracht, zumal es auch um Sachverhaltsfragen geht, die vom Bundesgericht nur mit beschränkter Kognition geprüft werden können ( Art. 105 BGG ).</w:t>
      </w:r>
    </w:p>
    <w:p>
      <w:r>
        <w:rPr>
          <w:b/>
        </w:rPr>
        <w:t>E. 3</w:t>
      </w:r>
    </w:p>
    <w:p>
      <w:r>
        <w:t>Die Beschwerde ist deshalb gutzuheissen und der angefochtene Entscheid aufzuheben. Die Sache ist zur neuen Beurteilung ans Zwangsmassnahmengericht zurückzuweisen. Damit wird das Gesuch des Beschwerdeführers um aufschiebende Wirkung gegenstandslos.</w:t>
      </w:r>
    </w:p>
    <w:p>
      <w:r>
        <w:t>Bei diesem Verfahrensausgang sind keine Gerichtskosten zu erheben ( Art. 66 Abs. 1 und 4 BGG ). Der Kanton Zürich hat dem anwaltlich vertretenen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