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1B_284/2007 vom 27. November 2008</w:t>
      </w:r>
    </w:p>
    <w:p>
      <w:r>
        <w:t>Bundesgericht, 2008-11-27, IT</w:t>
      </w:r>
    </w:p>
    <w:p>
      <w:r>
        <w:rPr>
          <w:b/>
        </w:rPr>
        <w:t xml:space="preserve">Quelle: </w:t>
      </w:r>
      <w:r>
        <w:t>https://mcp.opencaselaw.ch/entscheid/bger_1B_284_2007</w:t>
      </w:r>
    </w:p>
    <w:p>
      <w:r>
        <w:t>FR: TF 1B_284/2007 du 27 novembre 2008</w:t>
      </w:r>
    </w:p>
    <w:p>
      <w:r>
        <w:t>IT: TF 1B_284/2007 del 27 novembre 2008</w:t>
      </w:r>
    </w:p>
    <w:p>
      <w:pPr>
        <w:pStyle w:val="Heading2"/>
      </w:pPr>
      <w:r>
        <w:t>Erwägungen</w:t>
      </w:r>
    </w:p>
    <w:p>
      <w:r>
        <w:rPr>
          <w:b/>
        </w:rPr>
        <w:t>E. 1.1</w:t>
      </w:r>
    </w:p>
    <w:p>
      <w:r>
        <w:t>Come già stabilito dal Tribunale federale (sentenza 1B_288/2007 del 30 settembre 2008 consid. 1.2), la domanda ricorsuale di congiungere le differenti cause dev'essere respinta, a maggior ragione visto che le motivazioni dei vari ricorsi sono differenti.</w:t>
      </w:r>
    </w:p>
    <w:p>
      <w:r>
        <w:rPr>
          <w:b/>
        </w:rPr>
        <w:t>E. 1.2</w:t>
      </w:r>
    </w:p>
    <w:p>
      <w:r>
        <w:t>L'ammissibilità del gravame è pacifica. La legittimazione della ricorrente è stata ammessa nella citata sentenza del 30 settembre 2008 (consid. 1.4).</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Riguardo all'analisi della documentazione in esame, la ricorrente rileva di non contestare la decisione impugnata per quanto attiene all'incarto 7454. Per quanto concerne gli altri incarti l'istanza precedente ha rilevato quanto segue:</w:t>
      </w:r>
    </w:p>
    <w:p>
      <w:r>
        <w:t>S320/S328: gli incarti contengono centinaia di note d'onorario saldate nel 1995 la cui anonimizzazione rappresenterebbe un lavoro sproporzionato, per cui la I CRP ha versato agli atti soltanto le fatture riguardanti prestazioni manifestamente atipiche.</w:t>
      </w:r>
    </w:p>
    <w:p>
      <w:r>
        <w:t>Come si è visto, l'argomento della mole di lavoro non è decisivo. D'altra parte, la tutela del segreto professionale è di massima esclusa nella fattispecie, per cui le note di onorario, decisive per l'inchiesta, devono essere versate agli atti, di principio in forma non anonimizzata.</w:t>
      </w:r>
    </w:p>
    <w:p>
      <w:r>
        <w:t>S332 (parziale): l'incarto si compone di otto documenti, tra i quali figurano alcune note d'onorario. Poiché l'anonimizzazione dei pochi documenti nei quali figurano nomi di clienti potenzialmente protetti dal segreto professionale è "ragionevolmente" possibile, la I CRP li ha versati agli atti dopo averli oscurati, restituendo gli originali agli opponenti.</w:t>
      </w:r>
    </w:p>
    <w:p>
      <w:r>
        <w:t>Le conclusioni appena citate valgono chiaramente anche per questi atti. Spetterà comunque alla I CRP determinarsi in modo definitivo alla luce dei considerandi di questo giudizio.</w:t>
      </w:r>
    </w:p>
    <w:p>
      <w:r>
        <w:t>S333: l'incarto contiene il libro di cassa per l'anno 1995, nel quale figurano numerosi nomi di terzi, la cui anonimizzazione sarebbe sproporzionata. Tutti i movimenti sono caratterizzati da una referenza a una rubrica contabile, di modo che si potrebbe presumere, secondo l'istanza precedente, ch'essi siano stati correttamente contabilizzati per cui il loro interesse per l'inchiesta sarebbe esiguo e dovrebbero essere restituiti agli opponenti. Le pezze giustificative concernono in gran parte spese generali, senza menzione di nomi di clienti. Secondo la I CRP, la cernita e l'anonimizzazione di quelle contenenti nomi di clienti potenzialmente protetti dal segreto professionale rappresenterebbe un lavoro considerevole e sproporzionato, ciò nonostante ha previsto che le stesse devono essere versate agli atti "alle condizioni già espresse in altre occasioni analoghe".</w:t>
      </w:r>
    </w:p>
    <w:p>
      <w:r>
        <w:t>Questa argomentazione ambigua, impone la precisazione, per i motivi suesposti, che i relativi documenti devono essere versati agli atti, di massima, in forma non anonimizzata. Detti atti non sembrano d'altra parte inutili per le necessarie verifiche perseguite con l'inchiesta.</w:t>
      </w:r>
    </w:p>
    <w:p>
      <w:r>
        <w:t>S345/346: gli incarti contengono centinaia di pagine di listati contabili relativi al 1995. La loro anonimizzazione secondo la I CRP sarebbe sproporzionata e la loro utilità per l'inchiesta esigua, poiché i bilanci e i conti economici già versati agli atti riportano i medesimi risultati. Gli incarti dovrebbero quindi essere restituiti agli opponenti.</w:t>
      </w:r>
    </w:p>
    <w:p>
      <w:r>
        <w:t>Ritenuto che questi documenti non sono inutili per l'inchiesta, che l'argomento della mole di lavoro non è decisivo e che, soprattutto, la tutela del segreto professionale è di massima esclusa in concreto, pure tali atti devono essere versati agli atti alle condizioni precitate.</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