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1B_283/2019 vom 18. Juni 2019</w:t>
      </w:r>
    </w:p>
    <w:p>
      <w:r>
        <w:t>Bundesgericht, 2019-06-18, DE</w:t>
      </w:r>
    </w:p>
    <w:p>
      <w:r>
        <w:rPr>
          <w:b/>
        </w:rPr>
        <w:t xml:space="preserve">Quelle: </w:t>
      </w:r>
      <w:r>
        <w:t>https://mcp.opencaselaw.ch/entscheid/bger_1B_283_2019</w:t>
      </w:r>
    </w:p>
    <w:p>
      <w:r>
        <w:t>FR: TF 1B_283/2019 du 18 juin 2019</w:t>
      </w:r>
    </w:p>
    <w:p>
      <w:r>
        <w:t>IT: TF 1B_283/2019 del 18 giugno 2019</w:t>
      </w:r>
    </w:p>
    <w:p>
      <w:pPr>
        <w:pStyle w:val="Heading2"/>
      </w:pPr>
      <w:r>
        <w:t>Erwägungen</w:t>
      </w:r>
    </w:p>
    <w:p>
      <w:r>
        <w:rPr>
          <w:b/>
        </w:rPr>
        <w:t>E. 1</w:t>
      </w:r>
    </w:p>
    <w:p>
      <w:r>
        <w:t>A.________ erhob gegen die Nichtanhandnahmeverfügung der Regionalen Staatsanwaltschaft Berner Jura-Seeland vom 17. Mai 2019 Beschwerde. Mit Verfügung vom 29. Mai 2019 wies die Beschwerdekammer in Strafsachen ein Gesuch von A.________ um unentgeltliche Rechtspflege ab. Am 31. Mai 2019 stellte A.________ erneut ein Gesuch um unentgeltliche Rechtspflege, auf welches die Beschwerdekammer in Strafsachen mit Verfügung vom 5. Juni 2019 nicht eintrat. Die Beschwerdekammer führte zur Begründung aus, auf das Gesuch sei nicht einzutreten, da es bereits mit Verfügung vom 29. Mai 2019 abgewiesen worden sei.</w:t>
      </w:r>
    </w:p>
    <w:p>
      <w:r>
        <w:rPr>
          <w:b/>
        </w:rPr>
        <w:t>E. 2</w:t>
      </w:r>
    </w:p>
    <w:p>
      <w:r>
        <w:t>A.________ führt mit Eingabe vom 6. Juni 2019 Beschwerde in Strafsachen gegen die Verfügung der Beschwerdekammer in Strafsachen des Obergerichts des Kantons Bern vom 5. Juni 2019.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erachtet die Präsidentin der Beschwerdekammer in Strafsachen, welche die angefochtene Verfügung vom 5. Juni 2019 getroffen hatte, sinngemäss als befangen. Die Befangenheitsrüge genügt indessen den Begründungsanforderungen von Art. 42 Abs. 2 BGG nicht, zumal der Umstand, dass die Präsidentin bereits in früheren Verfahren gegen den Beschwerdeführer entschieden hatte, keinen Ausstandsgrund bildet. Im weiteren legt der Beschwerdeführer nicht dar, weshalb die Beschwerdekammer verpflichtet gewesen wäre, sein zweites Gesuch um unentgeltliche Rechtspflege vom 31. Mai 2019 materiell zu beurteilen. Aus seiner Beschwerde ergibt sich somit nicht,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