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1B_283/2018 vom 15. Juni 2018</w:t>
      </w:r>
    </w:p>
    <w:p>
      <w:r>
        <w:t>Bundesgericht, 2018-06-15, DE</w:t>
      </w:r>
    </w:p>
    <w:p>
      <w:r>
        <w:rPr>
          <w:b/>
        </w:rPr>
        <w:t xml:space="preserve">Quelle: </w:t>
      </w:r>
      <w:r>
        <w:t>https://mcp.opencaselaw.ch/entscheid/bger_1B_283_2018</w:t>
      </w:r>
    </w:p>
    <w:p>
      <w:r>
        <w:t>FR: TF 1B_283/2018 du 15 juin 2018</w:t>
      </w:r>
    </w:p>
    <w:p>
      <w:r>
        <w:t>IT: TF 1B_283/2018 del 15 giugno 2018</w:t>
      </w:r>
    </w:p>
    <w:p>
      <w:pPr>
        <w:pStyle w:val="Heading2"/>
      </w:pPr>
      <w:r>
        <w:t>Erwägungen</w:t>
      </w:r>
    </w:p>
    <w:p>
      <w:r>
        <w:rPr>
          <w:b/>
        </w:rPr>
        <w:t>E. 1</w:t>
      </w:r>
    </w:p>
    <w:p>
      <w:r>
        <w:t>Das Kantonsgericht Luzern wies mit Beschluss vom 8. Juli 2015 ein von A.________ im Strafbefehlsverfahren gestelltes Ausstandsgesuch ab und auferlegte ihm die Gerichtskosten von Fr. 300.--.</w:t>
      </w:r>
    </w:p>
    <w:p>
      <w:r>
        <w:t>A.________ stellte am 8. Dezember 2015 ein Gesuch um Kostenerlass, welches das Kantonsgericht Luzern mit Entscheid vom 8. März 2016 abwies. Mit Schreiben vom 24. Oktober 2017 ersuchte A.________ erneut um Erlass der Gerichtskosten. Das Kantonsgericht Luzern wies das Gesuch mit Entscheid vom 18. Mai 2018 ab und stundete die Forderung von Fr. 300.-- bis zum 31. Mai 2019. Zur Begründung führte das Kantonsgericht zusammenfassend aus, dass der Gesuchsteller nicht dauerhaft mittellos im Sinne von Art. 425 StPO sei.</w:t>
      </w:r>
    </w:p>
    <w:p>
      <w:r>
        <w:rPr>
          <w:b/>
        </w:rPr>
        <w:t>E. 2</w:t>
      </w:r>
    </w:p>
    <w:p>
      <w:r>
        <w:t>A.________ führt mit Eingabe vom 5. Juni 2018 Beschwerde in Strafsachen gegen den Entscheid des Kantonsgerichts Luzern. Da der angefochtene Entscheid der Beschwerde nicht beilag, forderte ihn das Bundesgericht mit Verfügung vom 7. Juni 2018 auf, diesen noch nachzureichen. Innert Frist kam der Beschwerdeführer der Aufforderung nach.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der keinen zulässigen Beschwerdegrund nennt, vermag mit seinen Ausführungen nicht aufzuzeigen, dass das Kantonsgericht Recht im Sinne von Art. 42 Abs. 2 BGG verletzt hätte, als es das Gesuch um Kostenerlass abwies. Aus der Beschwerde ergibt sich nicht, inwiefern die Begründung des Kantonsgerichts bzw. dessen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