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1B_282/2018 vom 31. Oktober 2018</w:t>
      </w:r>
    </w:p>
    <w:p>
      <w:r>
        <w:t>Bundesgericht, 2018-10-31, DE</w:t>
      </w:r>
    </w:p>
    <w:p>
      <w:r>
        <w:rPr>
          <w:b/>
        </w:rPr>
        <w:t xml:space="preserve">Quelle: </w:t>
      </w:r>
      <w:r>
        <w:t>https://mcp.opencaselaw.ch/entscheid/bger_1B_282_2018</w:t>
      </w:r>
    </w:p>
    <w:p>
      <w:r>
        <w:t>FR: TF 1B_282/2018 du 31 octobre 2018</w:t>
      </w:r>
    </w:p>
    <w:p>
      <w:r>
        <w:t>IT: TF 1B_282/2018 del 31 ottobre 2018</w:t>
      </w:r>
    </w:p>
    <w:p>
      <w:pPr>
        <w:pStyle w:val="Heading2"/>
      </w:pPr>
      <w:r>
        <w:t>Erwägungen</w:t>
      </w:r>
    </w:p>
    <w:p>
      <w:r>
        <w:rPr>
          <w:b/>
        </w:rPr>
        <w:t>E. 1.1</w:t>
      </w:r>
    </w:p>
    <w:p>
      <w:r>
        <w:t>Gemäss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Nach lit. b Ziff. 5 derselben Bestimmung ist zur Erhebung der Beschwerde insbesondere die Privatklägerschaft legitimiert, wenn sich der angefochtene Entscheid auf die Beurteilung ihrer Zivilansprüche auswirken kann. Dies setzt voraus, dass die Privatklägerschaft, soweit zumutbar und möglich, ihre Zivilansprüche im Strafverfahren geltend gemacht hat. Dabei geht es um Ansprüche, die ihren Grund im Zivilrecht haben und deshalb ordentlicherweise vor einem Zivilgericht geltend gemacht werden müssen. In erster Linie handelt es sich um Ansprüche auf Schadenersatz und Genugtuung gemäss Art. 41 ff. OR .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Urteil 6B_1200/2017 vom 4. Juni 2018 E. 2.1).</w:t>
      </w:r>
    </w:p>
    <w:p>
      <w:r>
        <w:rPr>
          <w:b/>
        </w:rPr>
        <w:t>E. 1.2</w:t>
      </w:r>
    </w:p>
    <w:p>
      <w:r>
        <w:t>Der Beschwerdeführer hat sich im Strafverfahren als Privatkläger konstituiert, jedoch nicht spezifisch als Zivilkläger ( Art. 118 Abs. 1 StPO ). Er legt auch im Verfahren vor Bundesgericht nicht dar, aus welchen Gründen sich der angefochtene Entscheid inwiefern auf welche Zivilforderung auswirken kann. Dies ist aus den folgenden Gründen auch nicht ohne Weiteres ersichtlich.</w:t>
      </w:r>
    </w:p>
    <w:p>
      <w:r>
        <w:rPr>
          <w:b/>
        </w:rPr>
        <w:t>E. 1.3</w:t>
      </w:r>
    </w:p>
    <w:p>
      <w:r>
        <w:t>Nach ständiger Rechtsprechung zählen öffentlich-rechtliche Ansprüche, wozu auch solche aus Staatshaftungsrecht gehören, nicht zu den Zivilansprüchen im Sinne von Art. 81 Abs. 1 lit. b Ziff. 5 BGG und können nicht adhäsionsweise im Strafprozess geltend gemacht werden (Urteil 6B_1200/2017 vom 4. Juni 2018 E. 2.4.1 mit Hinweisen). Gemäss § 75 Abs. 1 Satz 1 KV/AG (SR 131.227) haften der Kanton und die Gemeinden für den Schaden, den ihre Behörden, Beamten und übrigen Mitarbeitenden in Ausübung der amtlichen Tätigkeit Dritten widerrechtlich verursachen. Dem Geschädigten stehen für den Schaden, den ihm ein Mitarbeiter des Gemeinwesens in Ausübung einer amtlichen Verrichtung zufügte, ausschliesslich Ansprüche gegen den Staat zu (§ 1 Abs. 1 und § 10 Abs. 1 des Haftungsgesetzes des Kantons Aargau vom 24. März 2009 [HG; SAR 150.200]). Die vom Beschwerdeführer erhobenen strafrechtlichen Vorwürfe können sich daher allenfalls auf seine Staatshaftungsansprüche, nicht aber auf seine Zivilansprüche auswirken.</w:t>
      </w:r>
    </w:p>
    <w:p>
      <w:r>
        <w:rPr>
          <w:b/>
        </w:rPr>
        <w:t>E. 1.4</w:t>
      </w:r>
    </w:p>
    <w:p>
      <w:r>
        <w:t>Obwohl der Beschwerdeführer in der Sache selbst nicht legitimiert ist, kann er vor Bundesgericht geltend machen, im kantonalen Verfahren in seinen Parteirechten verletzt worden zu sein (sog. "Star-Praxis"; BGE 141 IV 1 E. 1.1 S. 5 mit Hinweisen). Allerdings kann auf diesem Weg keine indirekte Überprüfung des Entscheids in der Sache erlangt werden. Vorliegend erhebt der Beschwerdeführer keine formellen Rügen, deren Beurteilung von der Prüfung in der Sache selbst getrennt werden könnte. Auch in dieser Hinsicht fehlt ihm deshalb das Beschwerderecht.</w:t>
      </w:r>
    </w:p>
    <w:p>
      <w:r>
        <w:rPr>
          <w:b/>
        </w:rPr>
        <w:t>E. 2</w:t>
      </w:r>
    </w:p>
    <w:p>
      <w:r>
        <w:t>Auf die Beschwerde ist nicht einzutreten.</w:t>
      </w:r>
    </w:p>
    <w:p>
      <w:r>
        <w:t>Bei diesem Ausgang des Verfahrens trägt der Beschwerdeführer die Gerichtskosten ( Art. 66 Abs. 1 BGG ). 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