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1B_281/2019 vom 13. Juni 2019</w:t>
      </w:r>
    </w:p>
    <w:p>
      <w:r>
        <w:t>Bundesgericht, 2019-06-13, DE</w:t>
      </w:r>
    </w:p>
    <w:p>
      <w:r>
        <w:rPr>
          <w:b/>
        </w:rPr>
        <w:t xml:space="preserve">Quelle: </w:t>
      </w:r>
      <w:r>
        <w:t>https://mcp.opencaselaw.ch/entscheid/bger_1B_281_2019</w:t>
      </w:r>
    </w:p>
    <w:p>
      <w:r>
        <w:t>FR: TF 1B_281/2019 du 13 juin 2019</w:t>
      </w:r>
    </w:p>
    <w:p>
      <w:r>
        <w:t>IT: TF 1B_281/2019 del 13 giugno 2019</w:t>
      </w:r>
    </w:p>
    <w:p>
      <w:pPr>
        <w:pStyle w:val="Heading2"/>
      </w:pPr>
      <w:r>
        <w:t>Erwägungen</w:t>
      </w:r>
    </w:p>
    <w:p>
      <w:r>
        <w:rPr>
          <w:b/>
        </w:rPr>
        <w:t>E. 1</w:t>
      </w:r>
    </w:p>
    <w:p>
      <w:r>
        <w:t>Die Staatsanwaltschaft Basel-Stadt führt ein Strafverfahren gegen A.________ wegen vorsätzlicher Tötung. Sie wird beschuldigt, am 21. März 2019 einen ihr unbekannten Primarschüler erstochen zu haben. Mit Schreiben vom 3. April 2019 erteilte die Staatsanwaltschaft Prof. B.________ von der Klinik für forensische Psychiatrie der Psychiatrischen Universitätsklinik Zürich den Auftrag zur psychiatrischen Begutachtung von A.________. Dagegen wandte sich A.________ mit Schreiben vom 15. April 2019 und ersuchte um "Aussetzung der Begutachtung". Sie befürchtet, dass zur Erstellung des Gutachtens beschlagnahmte Akten beigezogen werden, welche manipuliert werden könnten. Das Appellationsgericht des Kantons Basel-Stadt wies die Beschwerde mit Entscheid vom 6. Mai 2019 ab.</w:t>
      </w:r>
    </w:p>
    <w:p>
      <w:r>
        <w:rPr>
          <w:b/>
        </w:rPr>
        <w:t>E. 2</w:t>
      </w:r>
    </w:p>
    <w:p>
      <w:r>
        <w:t>A.________ reichte gegen den Entscheid des Appellationsgerichts am 5. Juni 2019 beim Bundesstrafgericht eine Beschwerde ein. Das Bundesstrafgericht überwies die Eingabe mit Schreiben vom 6. Juni 2019 dem Bundesgericht. Dieses verzichtet auf die Einholung von Vernehmlassungen.</w:t>
      </w:r>
    </w:p>
    <w:p>
      <w:r>
        <w:rPr>
          <w:b/>
        </w:rPr>
        <w:t>E. 3</w:t>
      </w:r>
    </w:p>
    <w:p>
      <w:r>
        <w:t>Angefochten ist ein kantonal letztinstanzlicher Entscheid, mit dem das Appellationsgericht eine Beschwerde gegen die Anordnung einer psychiatrischen Begutachtung der Beschuldigten abwies; dagegen ist die Beschwerde in Strafsachen zulässig ( Art. 78 Abs. 1, Art. 80 BGG ). Der angefochtene Entscheid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 gutzumachende Nachteil ergeben soll, sofern dies nicht offensichtlich ist ( BGE 138 III 46 E. 1.2 S. 47; zum Ganzen: BGE 141 IV 284 E. 2.3 S. 287; 289 E. 1.3 S. 292).</w:t>
      </w:r>
    </w:p>
    <w:p>
      <w:r>
        <w:t>Die Beschwerdeführerin setzt sich mit den Voraussetzungen von Art. 93 Abs. 1 BGG nicht auseinander und legt nicht dar, inwiefern der angefochtene Entscheid einen nicht wieder gutzumachenden Nachteil rechtlicher Natur bewirken könnte. Das ist auch nicht offensichtlich. Auf die Beschwerde ist somit wegen Verletzung der gesetzlichen Begründungspflicht im vereinfachten Verfahren nach Art. 108 BGG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