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281/2013 vom 14. Februar 2014</w:t>
      </w:r>
    </w:p>
    <w:p>
      <w:r>
        <w:t>Bundesgericht, 2014-02-14, FR</w:t>
      </w:r>
    </w:p>
    <w:p>
      <w:r>
        <w:rPr>
          <w:b/>
        </w:rPr>
        <w:t xml:space="preserve">Quelle: </w:t>
      </w:r>
      <w:r>
        <w:t>https://mcp.opencaselaw.ch/entscheid/bger_1B_281_2013</w:t>
      </w:r>
    </w:p>
    <w:p>
      <w:r>
        <w:t>FR: TF 1B 281/2013 du 14 février 2014</w:t>
      </w:r>
    </w:p>
    <w:p>
      <w:r>
        <w:t>IT: TF 1B 281/2013 del 14 febbraio 2014</w:t>
      </w:r>
    </w:p>
    <w:p>
      <w:pPr>
        <w:pStyle w:val="Heading2"/>
      </w:pPr>
      <w:r>
        <w:t>Regeste</w:t>
      </w:r>
    </w:p>
    <w:p>
      <w:r>
        <w:t>Procédure pénale; refus de l'assistance judiciaire à la partie plaignante | Procédure pénale</w:t>
      </w:r>
    </w:p>
    <w:p>
      <w:pPr>
        <w:pStyle w:val="Heading2"/>
      </w:pPr>
      <w:r>
        <w:t>Erwägungen</w:t>
      </w:r>
    </w:p>
    <w:p>
      <w:r>
        <w:rPr>
          <w:b/>
        </w:rPr>
        <w:t>E. 1</w:t>
      </w:r>
    </w:p>
    <w:p>
      <w:r>
        <w:t>p. 1 et Plädoyer 2013 n o</w:t>
      </w:r>
    </w:p>
    <w:p>
      <w:r>
        <w:rPr>
          <w:b/>
        </w:rPr>
        <w:t>E. 1.1</w:t>
      </w:r>
    </w:p>
    <w:p>
      <w:r>
        <w:t>L'arrêt attaqué, relatif à l'assistance judiciaire, est une décision rendue en matière pénale par une autorité de dernière instance cantonale ( art. 80 al. 1 LTF ). Le recours en matière pénale au sens des art. 78 ss LTF est donc ouvert.</w:t>
      </w:r>
    </w:p>
    <w:p>
      <w:r>
        <w:rPr>
          <w:b/>
        </w:rPr>
        <w:t>E. 1.2</w:t>
      </w:r>
    </w:p>
    <w:p>
      <w:r>
        <w:t>Le recourant ne conteste pas que sa qualité pour recourir devant le Tribunal de céans ne peut résulter de l'art. 81 al. 1 let. b ch. 5 LTF, dès lors qu'il ne dispose d'aucune prétention civile à faire valoir au sens de cette disposition (cf. art. 41 ss CO et 2 al. 2 de la loi genevoise du 24 février 1989 sur la responsabilité de l'Etat et des communes [LREC; RSG A 2 40]; ATF 138 IV 86 consid. 3 p. 87 ss; arrêt 1B_729/2012 du 28 mai 2013 consid. 1.1). Il soutient en revanche qu'en application des garanties de procédure et de fond découlant notamment des art. 10 al. 3 Cst. , 3, 13 CEDH, 7 du Pacte ONU II (RS 0.103.2) et 13 de la Convention des Nations Unies du 10 décembre 1984 contre la torture et autres peines ou traitements cruels, inhumains ou dégradants (RS 0.105), un tel droit devrait lui être reconnu.</w:t>
      </w:r>
    </w:p>
    <w:p>
      <w:r>
        <w:rPr>
          <w:b/>
        </w:rPr>
        <w:t>E. 1.2.1</w:t>
      </w:r>
    </w:p>
    <w:p>
      <w:r>
        <w:t>La jurisprudence admet dans certains cas la qualité pour recourir de la partie plaignante, y compris en matière d'assistance judiciaire, lorsque les actes dénoncés sont susceptibles de tomber sous le coup des dispositions précitées ( ATF 138 IV 86 consid. 3.1.1 p. 88 s.; arrêt 1B_729/2012 du 28 mai 2013 consid. 2.1 et les arrêts cités).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Lorsqu'un individu se trouve privé de sa liberté, l'utilisation à son égard de la force physique alors qu'elle n'est pas rendue strictement nécessaire par son comportement porte atteinte à la dignité humaine et constitue, en principe, une violation des articles susmentionnés (arrêts 1B_771/2012 du 20 août 2013 consid. 1.2.2 publié in PJA 2013 1688); 1B_729/2012 du 28 mai 2013 consid. 2.1 et les arrêts cités). Un droit de recourir a ainsi notamment été reconnu sur cette base lorsque les faits avaient conduit à un décès ( ATF 138 IV 86 ; arrêt 1B_272/2011 du 22 mars 2012), lorsque le plaignant prétendait avoir subi des lésions corporelles à la suite d'une intervention des autorités (arrêts 1B_355/2012 du 12 octobre 2012 consid. 1.2.2 publié in Pra 2013 n o</w:t>
      </w:r>
    </w:p>
    <w:p>
      <w:r>
        <w:rPr>
          <w:b/>
        </w:rPr>
        <w:t>E. 1.2.2</w:t>
      </w:r>
    </w:p>
    <w:p>
      <w:r>
        <w:t>En l'occurrence, le recourant soutient que les lésions qu'il a subies auraient été d'une extrême gravité pour sa vie, celle-ci ayant été objectivement et concrètement mise en danger. Il omet cependant de prendre en compte que celles-ci résultent avant tout de son propre comportement (saut d'une hauteur de trois mètres), ayant ainsi accepté le risque se blesser. S'il soutient que les blessures subies se seraient aggravées en raison de son transport sans précaution par les policiers, puis de l'absence de transfert direct à l'hôpital, il n'apporte aucune démonstration de ses propos; il ne remet d'ailleurs pas en cause la rapidité de l'intervention médicale une fois arrivé au poste de police. Il affirme avoir subi de multiples fractures crâniennes et de la colonne vertébrale, une hémorragie cérébrale, des lésions des organes internes, ainsi que d'avoir passé plusieurs jours dans le coma, mais ne produit aucun certificat médical susceptible de confirmer ses dires en indiquant par exemple le diagnostic retenu, le traitement suivi, la durée de l'hospitalisation et l'impact d'une possible prise en charge tardive; une telle documentation ne figure pas non plus au dossier pénal. Il ressort en outre de celui-ci que - même dans l'hypothèse où le recourant aurait heurté un muret avec sa tête (cf. le rapport de police rédigé par un policier n'ayant pas été entendu par l'IGS) - le recourant n'a pas perdu connaissance au moment de son interpellation. Aucun des protagonistes auditionnés n'a fait état de plainte de sa part en relation avec sa tête; le recourant lui-même a déclaré lors de son audition avoir indiqué aux gendarmes souffrir du dos (cf. son audition du 18 janvier 2013). De plus, il ne remet pas en cause la traduction effectuée par son comparse de ses plaintes au moment de l'intervention policière; or, selon les propos des agents, celui-ci aurait déclaré que l'intéressé se plaignait de douleurs aux pieds (cf. procès-verbaux d'audition des gendarmes C.________ et D.________). Le constat médical du 27 juin 2012 du Dr B.________, ainsi que ses déclarations lors de son audition n'apportent aucun élément dans le sens des allégations du recourant, le praticien ayant constaté avant tout de possibles fractures vertébrales. Peu après l'interpellation, le recourant a également été capable de se mouvoir jusqu'au véhicule de police, certes encadré par deux agents. Au regard de ces circonstances (conscience, absence de plainte en lien avec la tête et mobilité), les policiers - qui n'appartiennent pas au corps médical, même s'ils peuvent disposer de certaines connaissances en matière de premiers secours - n'avaient aucune raison de suspecter des lésions internes, tel le traumatisme crânien allégué par le recourant - hypothèse que le médecin semble au demeurant avoir aussi écartée lors de son examen (cf. son rapport du 27 juin 2012) - et/ou de possibles fractures vertébrales. Ils n'ont enfin pas refusé au recourant de faire appel à un médecin peu après son arrivée au poste de police, ce que le recourant ne prétend au demeurant pas. Certes, il n'y a pas lieu au niveau de la recevabilité d'examiner si les actes reprochés aux policiers sont effectivement constitutifs de violations des art. 10 al. 3 Cst. , 3, 13 CEDH, 7 Pacte ONU II et 13 de la Convention contre la torture, s'ils procèdent d'un comportement intentionnel ou si les agents ont agi de manière proportionnée et pourraient être mis au bénéfice de faits justificatifs ( ATF 138 IV 86 consid. 3.1.3 p. 89). Cependant, les éléments relevés ci-dessus permettent de retenir que le minimum de gravité requis par la jurisprudence pour considérer que les actes dénoncés, respectivement les omissions alléguées, seraient des mauvais traitements au sens des dispositions susmentionnées n'est manifestement pas atteint. Le recourant n'a en particulier pas démontré en quoi l'éventuelle tardiveté de sa prise en charge médicale aurait aggravé les blessures causées par son propre comportement; en outre, dès lors que l'instruction pénale se poursuit, il garde la possibilité de faire valoir ses moyens (cf. art. 29 al. 3 Cst. ; arrêt 1B_355/2012 du 12 octobre 2012 consid. 5.1 et 5.2 publié in Pra 2013 n o 1 p. 1 et Plädoyer 2013 n o 2 p. 64). Partant, le recourant ne dispose pas de la qualité pour recourir. 2. Il en découle que le recours est irrecevable. Le recourant a demandé l'assistance judiciaire et les conditions en paraissent réunies au vu des questions posées par la recevabilité du recours ( art. 64 al. 1 LTF ). Il y a lieu de désigner Me Antoine Hamdan en qualité d'avocat d'office et de fixer ses honoraires, qui seront supportés par la caisse du Tribunal fédéral ( art. 64 al. 2 LTF ). Le recourant est en outre dispensé des frais judiciaires ( art. 64 al. 1 LTF ).</w:t>
      </w:r>
    </w:p>
    <w:p>
      <w:r>
        <w:rPr>
          <w:b/>
        </w:rPr>
        <w:t>E. 2</w:t>
      </w:r>
    </w:p>
    <w:p>
      <w:r>
        <w:t>p. 64; 1B_10/2012 du 29 mars 2012 consid. 1.2.2 et 1.2.4 publié in Plaidoyer 2014 n o</w:t>
      </w:r>
    </w:p>
    <w:p>
      <w:r>
        <w:rPr>
          <w:b/>
        </w:rPr>
        <w:t>E. 4</w:t>
      </w:r>
    </w:p>
    <w:p>
      <w:r>
        <w:t>p. 53; cf. arrêt 1B_729/2012 du 28 mai 2013 consid. 2.1 pour d'autres exemples) ou encore lorsqu'un mineur était embarqué dans un fourgon de police et emmené dans un endroit isolé hors de la ville où il était alors abandonné (arrêt 6B_364/2011 du 24 octobre 2011). La jurisprudence a en revanche considéré que l'atteinte n'était pas d'un degré de gravité suffisant en cas de violation de domicile alléguée (arrêt 1B_559/2012 du 4 décembre 2012), de perquisition (arrêt 1B_729 /2012 du 28 mai 2013) ou lorsque la victime présumée prétendait avoir été saisie au collet quelques instants par la police (arrêt 1B_70/2011 du 11 mai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